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2337" w:rsidRDefault="008A5F7D" w:rsidP="00A8459D">
      <w:pPr>
        <w:spacing w:before="315" w:after="105" w:line="360" w:lineRule="auto"/>
      </w:pPr>
      <w:bookmarkStart w:id="0" w:name="synthèse_contextuelle"/>
      <w:bookmarkStart w:id="1" w:name="_GoBack"/>
      <w:bookmarkEnd w:id="1"/>
      <w:r>
        <w:rPr>
          <w:rFonts w:ascii="inter" w:eastAsia="inter" w:hAnsi="inter" w:cs="inter"/>
          <w:b/>
          <w:color w:val="000000"/>
          <w:sz w:val="24"/>
        </w:rPr>
        <w:t>Synthèse Contextuelle</w:t>
      </w:r>
      <w:bookmarkEnd w:id="0"/>
    </w:p>
    <w:p w:rsidR="00E62337" w:rsidRDefault="008A5F7D">
      <w:pPr>
        <w:spacing w:after="210" w:line="360" w:lineRule="auto"/>
      </w:pPr>
      <w:r>
        <w:rPr>
          <w:rFonts w:ascii="inter" w:eastAsia="inter" w:hAnsi="inter" w:cs="inter"/>
          <w:color w:val="000000"/>
        </w:rPr>
        <w:t>Ce document décrit un projet pédagogique d'ingénierie nucléaire pour le démantèlement de la cellule 241B du cyclotron ARRONAX à Saint-Herblain (Nantes), impliquant des étudiants de Master 2 en radioprotection et démantèlement. L'organisation repose sur des</w:t>
      </w:r>
      <w:r>
        <w:rPr>
          <w:rFonts w:ascii="inter" w:eastAsia="inter" w:hAnsi="inter" w:cs="inter"/>
          <w:color w:val="000000"/>
        </w:rPr>
        <w:t xml:space="preserve"> équipes mixtes de la société fictive MARS, avec des tâches centrées sur l'étude radiologique, l'estimation des compositions radioactives, le zonage, et la proposition de scénarios optimisés selon les critères ALARA, coût et impact site. La finalité est de</w:t>
      </w:r>
      <w:r>
        <w:rPr>
          <w:rFonts w:ascii="inter" w:eastAsia="inter" w:hAnsi="inter" w:cs="inter"/>
          <w:color w:val="000000"/>
        </w:rPr>
        <w:t xml:space="preserve"> former à la gestion de projet nucléaire, en intégrant calculs indépendants, simulations (DEM+, Monte-Carlo) et validation réglementaire, pour une remise en février 2025. Cette extraction exhaustive, sans omission ni doublon, facilite la planification en é</w:t>
      </w:r>
      <w:r>
        <w:rPr>
          <w:rFonts w:ascii="inter" w:eastAsia="inter" w:hAnsi="inter" w:cs="inter"/>
          <w:color w:val="000000"/>
        </w:rPr>
        <w:t>quipe et la reproduction complète du projet.</w:t>
      </w:r>
      <w:bookmarkStart w:id="2" w:name="fnref1"/>
      <w:bookmarkEnd w:id="2"/>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spacing w:before="315" w:after="105" w:line="360" w:lineRule="auto"/>
        <w:ind w:left="-30"/>
      </w:pPr>
      <w:bookmarkStart w:id="3" w:name="présentation_du_contexte_et_historique"/>
      <w:r>
        <w:rPr>
          <w:rFonts w:ascii="inter" w:eastAsia="inter" w:hAnsi="inter" w:cs="inter"/>
          <w:b/>
          <w:color w:val="000000"/>
          <w:sz w:val="24"/>
        </w:rPr>
        <w:t>Présentation du Contexte et Historique</w:t>
      </w:r>
      <w:bookmarkEnd w:id="3"/>
    </w:p>
    <w:p w:rsidR="00E62337" w:rsidRDefault="008A5F7D">
      <w:pPr>
        <w:spacing w:after="210" w:line="360" w:lineRule="auto"/>
      </w:pPr>
      <w:r>
        <w:rPr>
          <w:rFonts w:ascii="inter" w:eastAsia="inter" w:hAnsi="inter" w:cs="inter"/>
          <w:color w:val="000000"/>
        </w:rPr>
        <w:t>Le cyclotron ARRONAX, centre nantais de production de radionucléides pour médecine nucléaire, procède à la déconstruction d'un bâtiment obsolèt</w:t>
      </w:r>
      <w:r>
        <w:rPr>
          <w:rFonts w:ascii="inter" w:eastAsia="inter" w:hAnsi="inter" w:cs="inter"/>
          <w:color w:val="000000"/>
        </w:rPr>
        <w:t>e contenant des lignes de stockage et transfert d'effluents radioactifs à son site de Saint-Herblain. La cellule 241B est une station active de stockage et transfert d'effluents issus du refroidissement des cibles irradiées pour la fabrication de ⁸²Sr et ⁹</w:t>
      </w:r>
      <w:r>
        <w:rPr>
          <w:rFonts w:ascii="inter" w:eastAsia="inter" w:hAnsi="inter" w:cs="inter"/>
          <w:color w:val="000000"/>
        </w:rPr>
        <w:t>⁹</w:t>
      </w:r>
      <w:r>
        <w:rPr>
          <w:rFonts w:ascii="inter" w:eastAsia="inter" w:hAnsi="inter" w:cs="inter"/>
          <w:color w:val="000000"/>
        </w:rPr>
        <w:t>ᵐ</w:t>
      </w:r>
      <w:r>
        <w:rPr>
          <w:rFonts w:ascii="inter" w:eastAsia="inter" w:hAnsi="inter" w:cs="inter"/>
          <w:color w:val="000000"/>
        </w:rPr>
        <w:t>Tc, utilisés en imagerie médicale. Elle comprend trois cuves contenant des effluents et dépôts radioactifs à concentrations variables, dépendant des historiques d'irradiation des cibles, avec origines soit de noyaux de recul lors de l'irradiation, soit d</w:t>
      </w:r>
      <w:r>
        <w:rPr>
          <w:rFonts w:ascii="inter" w:eastAsia="inter" w:hAnsi="inter" w:cs="inter"/>
          <w:color w:val="000000"/>
        </w:rPr>
        <w:t xml:space="preserve">'incidents de ruptures de cibles. L'exploitation s'est étendue sur 5 ans pour la cuve 1, avec des irradiations périodiques, et des incidents documentés à T₀ - 40 mois, T₀ - 23 mois et T₀ - 3 mois (T₀ étant la date d'arrêt d'exploitation). ARRONAX lance un </w:t>
      </w:r>
      <w:r>
        <w:rPr>
          <w:rFonts w:ascii="inter" w:eastAsia="inter" w:hAnsi="inter" w:cs="inter"/>
          <w:color w:val="000000"/>
        </w:rPr>
        <w:t>appel d'offres pour des scénarios de démantèlement, démarrant entre T₀ et T₀+2 mois, pour sélectionner le meilleur prestataire via une compétition technique, financière et d'impact site.</w:t>
      </w:r>
      <w:bookmarkStart w:id="4" w:name="fnref1_1"/>
      <w:bookmarkEnd w:id="4"/>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spacing w:before="315" w:after="105" w:line="360" w:lineRule="auto"/>
        <w:ind w:left="-30"/>
      </w:pPr>
      <w:bookmarkStart w:id="5" w:name="description_exigences_techniques_12a2e1"/>
      <w:r>
        <w:rPr>
          <w:rFonts w:ascii="inter" w:eastAsia="inter" w:hAnsi="inter" w:cs="inter"/>
          <w:b/>
          <w:color w:val="000000"/>
          <w:sz w:val="24"/>
        </w:rPr>
        <w:t>Description/Exigences Techniques (Réacte</w:t>
      </w:r>
      <w:r>
        <w:rPr>
          <w:rFonts w:ascii="inter" w:eastAsia="inter" w:hAnsi="inter" w:cs="inter"/>
          <w:b/>
          <w:color w:val="000000"/>
          <w:sz w:val="24"/>
        </w:rPr>
        <w:t>ur, Cuves, Radionucléides)</w:t>
      </w:r>
      <w:bookmarkEnd w:id="5"/>
    </w:p>
    <w:p w:rsidR="00E62337" w:rsidRDefault="008A5F7D">
      <w:pPr>
        <w:spacing w:before="315" w:after="105" w:line="360" w:lineRule="auto"/>
        <w:ind w:left="-30"/>
      </w:pPr>
      <w:bookmarkStart w:id="6" w:name="géométrie_et_caractéristiques_des_46a7ba"/>
      <w:r>
        <w:rPr>
          <w:rFonts w:ascii="inter" w:eastAsia="inter" w:hAnsi="inter" w:cs="inter"/>
          <w:b/>
          <w:color w:val="000000"/>
          <w:sz w:val="24"/>
        </w:rPr>
        <w:t>Géométrie et Caractéristiques des Cuves (Annexe 1)</w:t>
      </w:r>
      <w:bookmarkEnd w:id="6"/>
    </w:p>
    <w:p w:rsidR="00E62337" w:rsidRDefault="008A5F7D">
      <w:pPr>
        <w:numPr>
          <w:ilvl w:val="0"/>
          <w:numId w:val="1"/>
        </w:numPr>
        <w:spacing w:before="105" w:after="105" w:line="360" w:lineRule="auto"/>
      </w:pPr>
      <w:r>
        <w:rPr>
          <w:rFonts w:ascii="inter" w:eastAsia="inter" w:hAnsi="inter" w:cs="inter"/>
          <w:b/>
          <w:color w:val="000000"/>
        </w:rPr>
        <w:t>Salle des cuves</w:t>
      </w:r>
      <w:r>
        <w:rPr>
          <w:rFonts w:ascii="inter" w:eastAsia="inter" w:hAnsi="inter" w:cs="inter"/>
          <w:color w:val="000000"/>
        </w:rPr>
        <w:t xml:space="preserve"> : Dimensions 21,598 m × 10,2 m ; hauteur 3,749 m ; épaisseur des murs 1,375 m.</w:t>
      </w:r>
      <w:bookmarkStart w:id="7" w:name="fnref1_2"/>
      <w:bookmarkEnd w:id="7"/>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numPr>
          <w:ilvl w:val="0"/>
          <w:numId w:val="1"/>
        </w:numPr>
        <w:spacing w:before="105" w:after="105" w:line="360" w:lineRule="auto"/>
      </w:pPr>
      <w:r>
        <w:rPr>
          <w:rFonts w:ascii="inter" w:eastAsia="inter" w:hAnsi="inter" w:cs="inter"/>
          <w:b/>
          <w:color w:val="000000"/>
        </w:rPr>
        <w:t xml:space="preserve">Cuve n°1 (refroidissement cibles P2 et P3, production </w:t>
      </w:r>
      <w:r>
        <w:rPr>
          <w:rFonts w:ascii="inter" w:eastAsia="inter" w:hAnsi="inter" w:cs="inter"/>
          <w:b/>
          <w:color w:val="000000"/>
        </w:rPr>
        <w:t>⁸</w:t>
      </w:r>
      <w:r>
        <w:rPr>
          <w:rFonts w:ascii="inter" w:eastAsia="inter" w:hAnsi="inter" w:cs="inter"/>
          <w:b/>
          <w:color w:val="000000"/>
        </w:rPr>
        <w:t>²Sr)</w:t>
      </w:r>
      <w:r>
        <w:rPr>
          <w:rFonts w:ascii="inter" w:eastAsia="inter" w:hAnsi="inter" w:cs="inter"/>
          <w:color w:val="000000"/>
        </w:rPr>
        <w:t xml:space="preserve"> : Acier, épaisseur 4 mm ; placée sous le mur ; diamètre 2,04 m ; longueur 4,495 m ; volume 100 L d'eau déionisée ; positionnée comme dans Figure 2 (orange).</w:t>
      </w:r>
      <w:bookmarkStart w:id="8" w:name="fnref1_3"/>
      <w:bookmarkEnd w:id="8"/>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numPr>
          <w:ilvl w:val="0"/>
          <w:numId w:val="1"/>
        </w:numPr>
        <w:spacing w:before="105" w:after="105" w:line="360" w:lineRule="auto"/>
      </w:pPr>
      <w:r>
        <w:rPr>
          <w:rFonts w:ascii="inter" w:eastAsia="inter" w:hAnsi="inter" w:cs="inter"/>
          <w:b/>
          <w:color w:val="000000"/>
        </w:rPr>
        <w:t>Cuve n°2 (refroidissement cibles A1 et A2, production ⁹⁹</w:t>
      </w:r>
      <w:r>
        <w:rPr>
          <w:rFonts w:ascii="inter" w:eastAsia="inter" w:hAnsi="inter" w:cs="inter"/>
          <w:b/>
          <w:color w:val="000000"/>
        </w:rPr>
        <w:t>ᵐ</w:t>
      </w:r>
      <w:r>
        <w:rPr>
          <w:rFonts w:ascii="inter" w:eastAsia="inter" w:hAnsi="inter" w:cs="inter"/>
          <w:b/>
          <w:color w:val="000000"/>
        </w:rPr>
        <w:t>Tc)</w:t>
      </w:r>
      <w:r>
        <w:rPr>
          <w:rFonts w:ascii="inter" w:eastAsia="inter" w:hAnsi="inter" w:cs="inter"/>
          <w:color w:val="000000"/>
        </w:rPr>
        <w:t xml:space="preserve"> : A</w:t>
      </w:r>
      <w:r>
        <w:rPr>
          <w:rFonts w:ascii="inter" w:eastAsia="inter" w:hAnsi="inter" w:cs="inter"/>
          <w:color w:val="000000"/>
        </w:rPr>
        <w:t>cier, épaisseur 4 mm ; diamètre 1,428 m ; hauteur 2,289 m ; volume 100 L d'eau déionisée ; positionnée comme dans Figure 3 (orange).</w:t>
      </w:r>
      <w:bookmarkStart w:id="9" w:name="fnref1_4"/>
      <w:bookmarkEnd w:id="9"/>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numPr>
          <w:ilvl w:val="0"/>
          <w:numId w:val="1"/>
        </w:numPr>
        <w:spacing w:before="105" w:after="105" w:line="360" w:lineRule="auto"/>
      </w:pPr>
      <w:r>
        <w:rPr>
          <w:rFonts w:ascii="inter" w:eastAsia="inter" w:hAnsi="inter" w:cs="inter"/>
          <w:b/>
          <w:color w:val="000000"/>
        </w:rPr>
        <w:lastRenderedPageBreak/>
        <w:t>Cuve n°3 (refroidissement éléments ligne de faisceau, tritium)</w:t>
      </w:r>
      <w:r>
        <w:rPr>
          <w:rFonts w:ascii="inter" w:eastAsia="inter" w:hAnsi="inter" w:cs="inter"/>
          <w:color w:val="000000"/>
        </w:rPr>
        <w:t xml:space="preserve"> : Acier, épaisseur 4 mm ; volum</w:t>
      </w:r>
      <w:r>
        <w:rPr>
          <w:rFonts w:ascii="inter" w:eastAsia="inter" w:hAnsi="inter" w:cs="inter"/>
          <w:color w:val="000000"/>
        </w:rPr>
        <w:t>e 100 L d'eau déionisée ; positionnée comme dans Figure 4 (orange) ; détails supplémentaires en Annexe 2 (eau pour arrêter le faisceau dans cages de Faraday).</w:t>
      </w:r>
      <w:bookmarkStart w:id="10" w:name="fnref1_5"/>
      <w:bookmarkEnd w:id="10"/>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spacing w:before="315" w:after="105" w:line="360" w:lineRule="auto"/>
        <w:ind w:left="-30"/>
      </w:pPr>
      <w:bookmarkStart w:id="11" w:name="historique_opérations_accidents_e_5cca5c"/>
      <w:r>
        <w:rPr>
          <w:rFonts w:ascii="inter" w:eastAsia="inter" w:hAnsi="inter" w:cs="inter"/>
          <w:b/>
          <w:color w:val="000000"/>
          <w:sz w:val="24"/>
        </w:rPr>
        <w:t>Historique Opérations/Accidents et Composition (Annexe 2)</w:t>
      </w:r>
      <w:bookmarkEnd w:id="11"/>
    </w:p>
    <w:p w:rsidR="00E62337" w:rsidRDefault="008A5F7D">
      <w:pPr>
        <w:numPr>
          <w:ilvl w:val="0"/>
          <w:numId w:val="2"/>
        </w:numPr>
        <w:spacing w:before="105" w:after="105" w:line="360" w:lineRule="auto"/>
      </w:pPr>
      <w:r>
        <w:rPr>
          <w:rFonts w:ascii="inter" w:eastAsia="inter" w:hAnsi="inter" w:cs="inter"/>
          <w:b/>
          <w:color w:val="000000"/>
        </w:rPr>
        <w:t>Cuve n°1</w:t>
      </w:r>
      <w:r>
        <w:rPr>
          <w:rFonts w:ascii="inter" w:eastAsia="inter" w:hAnsi="inter" w:cs="inter"/>
          <w:color w:val="000000"/>
        </w:rPr>
        <w:t xml:space="preserve"> : Irradiation typique : 120 h (1 semaine) à 100 µA, protons 70 MeV (sortie cible 40 MeV), 1 irradiation/mois sur 5 ans ; cible rubidium métallique en capsule acier 316L (0,1 mm) immergée ; en normal : noyaux de recul négligeables (à justifier), tritium pr</w:t>
      </w:r>
      <w:r>
        <w:rPr>
          <w:rFonts w:ascii="inter" w:eastAsia="inter" w:hAnsi="inter" w:cs="inter"/>
          <w:color w:val="000000"/>
        </w:rPr>
        <w:t>ésent (à justifier) ; incidents : 3 ruptures (T₀ - 40, 23, 3 mois), dissolution totale dans eau ; radioéléments : ⁸²Sr, ⁸³Sr, ⁸⁵Sr, ⁸⁶Rb, ⁸⁴Rb, ⁸³Rb, ⁸²Rb, ⁸³</w:t>
      </w:r>
      <w:r>
        <w:rPr>
          <w:rFonts w:ascii="inter" w:eastAsia="inter" w:hAnsi="inter" w:cs="inter"/>
          <w:color w:val="000000"/>
        </w:rPr>
        <w:t>ᵐ</w:t>
      </w:r>
      <w:r>
        <w:rPr>
          <w:rFonts w:ascii="inter" w:eastAsia="inter" w:hAnsi="inter" w:cs="inter"/>
          <w:color w:val="000000"/>
        </w:rPr>
        <w:t>Kr (à justifier) ; composition estimée (à valider) : ⁸²Sr = 343 mCi, ⁸³Sr = 0 mCi, ⁸⁵Sr = 504 mCi</w:t>
      </w:r>
      <w:r>
        <w:rPr>
          <w:rFonts w:ascii="inter" w:eastAsia="inter" w:hAnsi="inter" w:cs="inter"/>
          <w:color w:val="000000"/>
        </w:rPr>
        <w:t>, ⁸⁶Rb = 15 mCi, ⁸⁴Rb = 762 mCi, ⁸³Rb = 490 mCi, ⁸²Rb = 343 mCi, ⁸³</w:t>
      </w:r>
      <w:r>
        <w:rPr>
          <w:rFonts w:ascii="inter" w:eastAsia="inter" w:hAnsi="inter" w:cs="inter"/>
          <w:color w:val="000000"/>
        </w:rPr>
        <w:t>ᵐ</w:t>
      </w:r>
      <w:r>
        <w:rPr>
          <w:rFonts w:ascii="inter" w:eastAsia="inter" w:hAnsi="inter" w:cs="inter"/>
          <w:color w:val="000000"/>
        </w:rPr>
        <w:t>Kr = 490 mCi.</w:t>
      </w:r>
      <w:bookmarkStart w:id="12" w:name="fnref1_6"/>
      <w:bookmarkEnd w:id="12"/>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numPr>
          <w:ilvl w:val="0"/>
          <w:numId w:val="2"/>
        </w:numPr>
        <w:spacing w:before="105" w:after="105" w:line="360" w:lineRule="auto"/>
      </w:pPr>
      <w:r>
        <w:rPr>
          <w:rFonts w:ascii="inter" w:eastAsia="inter" w:hAnsi="inter" w:cs="inter"/>
          <w:b/>
          <w:color w:val="000000"/>
        </w:rPr>
        <w:t>Cuve n°2</w:t>
      </w:r>
      <w:r>
        <w:rPr>
          <w:rFonts w:ascii="inter" w:eastAsia="inter" w:hAnsi="inter" w:cs="inter"/>
          <w:color w:val="000000"/>
        </w:rPr>
        <w:t xml:space="preserve"> : Irradiation typique : 6 h à 100 µA, protons 24 MeV ; cible ¹⁰⁰Mo enrichi 100% ; 3 irradiations/semaine ; pertes moyennes 2 cibles/mois</w:t>
      </w:r>
      <w:r>
        <w:rPr>
          <w:rFonts w:ascii="inter" w:eastAsia="inter" w:hAnsi="inter" w:cs="inter"/>
          <w:color w:val="000000"/>
        </w:rPr>
        <w:t xml:space="preserve"> ; circuit normalement isolé du faisceau, sauf rupture (toute production dans circuit) ; radioéléments : ⁹⁹</w:t>
      </w:r>
      <w:r>
        <w:rPr>
          <w:rFonts w:ascii="inter" w:eastAsia="inter" w:hAnsi="inter" w:cs="inter"/>
          <w:color w:val="000000"/>
        </w:rPr>
        <w:t>ᵐ</w:t>
      </w:r>
      <w:r>
        <w:rPr>
          <w:rFonts w:ascii="inter" w:eastAsia="inter" w:hAnsi="inter" w:cs="inter"/>
          <w:color w:val="000000"/>
        </w:rPr>
        <w:t>Tc et filiations (à identifier).</w:t>
      </w:r>
      <w:bookmarkStart w:id="13" w:name="fnref1_7"/>
      <w:bookmarkEnd w:id="13"/>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numPr>
          <w:ilvl w:val="0"/>
          <w:numId w:val="2"/>
        </w:numPr>
        <w:spacing w:before="105" w:after="105" w:line="360" w:lineRule="auto"/>
      </w:pPr>
      <w:r>
        <w:rPr>
          <w:rFonts w:ascii="inter" w:eastAsia="inter" w:hAnsi="inter" w:cs="inter"/>
          <w:b/>
          <w:color w:val="000000"/>
        </w:rPr>
        <w:t>Cuve n°3</w:t>
      </w:r>
      <w:r>
        <w:rPr>
          <w:rFonts w:ascii="inter" w:eastAsia="inter" w:hAnsi="inter" w:cs="inter"/>
          <w:color w:val="000000"/>
        </w:rPr>
        <w:t xml:space="preserve"> : Refroidissement diagnostics et cages Faraday (1 h/opération, avant chaque t</w:t>
      </w:r>
      <w:r>
        <w:rPr>
          <w:rFonts w:ascii="inter" w:eastAsia="inter" w:hAnsi="inter" w:cs="inter"/>
          <w:color w:val="000000"/>
        </w:rPr>
        <w:t>ir) ; faisceau arrêté dans eau ; énergie/intensité variables ; contamination principale : tritium significatif par activation eau ; autres radioéléments selon irradiations.</w:t>
      </w:r>
      <w:bookmarkStart w:id="14" w:name="fnref1_8"/>
      <w:bookmarkEnd w:id="14"/>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numPr>
          <w:ilvl w:val="0"/>
          <w:numId w:val="2"/>
        </w:numPr>
        <w:spacing w:before="105" w:after="105" w:line="360" w:lineRule="auto"/>
      </w:pPr>
      <w:r>
        <w:rPr>
          <w:rFonts w:ascii="inter" w:eastAsia="inter" w:hAnsi="inter" w:cs="inter"/>
          <w:b/>
          <w:color w:val="000000"/>
        </w:rPr>
        <w:t>Gestion risques tritium</w:t>
      </w:r>
      <w:r>
        <w:rPr>
          <w:rFonts w:ascii="inter" w:eastAsia="inter" w:hAnsi="inter" w:cs="inter"/>
          <w:color w:val="000000"/>
        </w:rPr>
        <w:t xml:space="preserve"> : Présence notable dans cuve n</w:t>
      </w:r>
      <w:r>
        <w:rPr>
          <w:rFonts w:ascii="inter" w:eastAsia="inter" w:hAnsi="inter" w:cs="inter"/>
          <w:color w:val="000000"/>
        </w:rPr>
        <w:t>°3, impact sur conditions chantier (scénarios spécifiques : ventilation, monitoring HTO, protection respiratoire) ; conséquences site : contamination gazeuse potentielle, doses internes à minimiser via ALARA.</w:t>
      </w:r>
      <w:bookmarkStart w:id="15" w:name="fnref1_9"/>
      <w:bookmarkEnd w:id="15"/>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spacing w:before="315" w:after="105" w:line="360" w:lineRule="auto"/>
        <w:ind w:left="-30"/>
      </w:pPr>
      <w:bookmarkStart w:id="16" w:name="radionucléides_et_conditions_production"/>
      <w:r>
        <w:rPr>
          <w:rFonts w:ascii="inter" w:eastAsia="inter" w:hAnsi="inter" w:cs="inter"/>
          <w:b/>
          <w:color w:val="000000"/>
          <w:sz w:val="24"/>
        </w:rPr>
        <w:t xml:space="preserve">Radionucléides et </w:t>
      </w:r>
      <w:r>
        <w:rPr>
          <w:rFonts w:ascii="inter" w:eastAsia="inter" w:hAnsi="inter" w:cs="inter"/>
          <w:b/>
          <w:color w:val="000000"/>
          <w:sz w:val="24"/>
        </w:rPr>
        <w:t>Conditions Production</w:t>
      </w:r>
      <w:bookmarkEnd w:id="16"/>
    </w:p>
    <w:p w:rsidR="00E62337" w:rsidRDefault="008A5F7D">
      <w:pPr>
        <w:numPr>
          <w:ilvl w:val="0"/>
          <w:numId w:val="3"/>
        </w:numPr>
        <w:spacing w:before="105" w:after="105" w:line="360" w:lineRule="auto"/>
      </w:pPr>
      <w:r>
        <w:rPr>
          <w:rFonts w:ascii="inter" w:eastAsia="inter" w:hAnsi="inter" w:cs="inter"/>
          <w:color w:val="000000"/>
        </w:rPr>
        <w:t>Production ⁸²Sr : Bombardement rubidium, protons 70-40 MeV, cible épaisse.</w:t>
      </w:r>
      <w:bookmarkStart w:id="17" w:name="fnref1_10"/>
      <w:bookmarkEnd w:id="17"/>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numPr>
          <w:ilvl w:val="0"/>
          <w:numId w:val="3"/>
        </w:numPr>
        <w:spacing w:before="105" w:after="105" w:line="360" w:lineRule="auto"/>
      </w:pPr>
      <w:r>
        <w:rPr>
          <w:rFonts w:ascii="inter" w:eastAsia="inter" w:hAnsi="inter" w:cs="inter"/>
          <w:color w:val="000000"/>
        </w:rPr>
        <w:t>Production ⁹⁹</w:t>
      </w:r>
      <w:r>
        <w:rPr>
          <w:rFonts w:ascii="inter" w:eastAsia="inter" w:hAnsi="inter" w:cs="inter"/>
          <w:color w:val="000000"/>
        </w:rPr>
        <w:t>ᵐ</w:t>
      </w:r>
      <w:r>
        <w:rPr>
          <w:rFonts w:ascii="inter" w:eastAsia="inter" w:hAnsi="inter" w:cs="inter"/>
          <w:color w:val="000000"/>
        </w:rPr>
        <w:t>Tc : Bombardement ¹⁰⁰Mo, protons 24 MeV.</w:t>
      </w:r>
      <w:bookmarkStart w:id="18" w:name="fnref1_11"/>
      <w:bookmarkEnd w:id="18"/>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numPr>
          <w:ilvl w:val="0"/>
          <w:numId w:val="3"/>
        </w:numPr>
        <w:spacing w:before="105" w:after="105" w:line="360" w:lineRule="auto"/>
      </w:pPr>
      <w:r>
        <w:rPr>
          <w:rFonts w:ascii="inter" w:eastAsia="inter" w:hAnsi="inter" w:cs="inter"/>
          <w:color w:val="000000"/>
        </w:rPr>
        <w:t>Schéma global : Cyclotron → cibles → conversio</w:t>
      </w:r>
      <w:r>
        <w:rPr>
          <w:rFonts w:ascii="inter" w:eastAsia="inter" w:hAnsi="inter" w:cs="inter"/>
          <w:color w:val="000000"/>
        </w:rPr>
        <w:t>n → production Tc → radio-pharmaceutique → diagnostic patient (Figure 5).</w:t>
      </w:r>
      <w:bookmarkStart w:id="19" w:name="fnref1_12"/>
      <w:bookmarkEnd w:id="19"/>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numPr>
          <w:ilvl w:val="0"/>
          <w:numId w:val="3"/>
        </w:numPr>
        <w:spacing w:before="105" w:after="105" w:line="360" w:lineRule="auto"/>
      </w:pPr>
      <w:r>
        <w:rPr>
          <w:rFonts w:ascii="inter" w:eastAsia="inter" w:hAnsi="inter" w:cs="inter"/>
          <w:color w:val="000000"/>
        </w:rPr>
        <w:t>Positions casemates : P1, P2, P3 (Sr), AX, A1, A2 (Tc).</w:t>
      </w:r>
      <w:bookmarkStart w:id="20" w:name="fnref1_13"/>
      <w:bookmarkEnd w:id="20"/>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spacing w:before="315" w:after="105" w:line="360" w:lineRule="auto"/>
        <w:ind w:left="-30"/>
      </w:pPr>
      <w:bookmarkStart w:id="21" w:name="organisation_du_projet_équipes_rô_32c7a0"/>
      <w:r>
        <w:rPr>
          <w:rFonts w:ascii="inter" w:eastAsia="inter" w:hAnsi="inter" w:cs="inter"/>
          <w:b/>
          <w:color w:val="000000"/>
          <w:sz w:val="24"/>
        </w:rPr>
        <w:t>Organisation du Projet (Équipes, Rôles, Relation Client/Interne)</w:t>
      </w:r>
      <w:bookmarkEnd w:id="21"/>
    </w:p>
    <w:p w:rsidR="00E62337" w:rsidRDefault="008A5F7D">
      <w:pPr>
        <w:spacing w:after="210" w:line="360" w:lineRule="auto"/>
      </w:pPr>
      <w:r>
        <w:rPr>
          <w:rFonts w:ascii="inter" w:eastAsia="inter" w:hAnsi="inter" w:cs="inter"/>
          <w:color w:val="000000"/>
        </w:rPr>
        <w:t>La société MARS (ingénierie, démantèlement, radioprotection) répond à l'appel d'offres via équipes de 4 étudiants : 2 par cursus (radioprotection/démantèlement), mixtes (anciens Université Nantes + nouveaux) ; organisation gestion de projet obligatoire (Ga</w:t>
      </w:r>
      <w:r>
        <w:rPr>
          <w:rFonts w:ascii="inter" w:eastAsia="inter" w:hAnsi="inter" w:cs="inter"/>
          <w:color w:val="000000"/>
        </w:rPr>
        <w:t xml:space="preserve">ntt, rôles, échanges). </w:t>
      </w:r>
      <w:r>
        <w:rPr>
          <w:rFonts w:ascii="inter" w:eastAsia="inter" w:hAnsi="inter" w:cs="inter"/>
          <w:b/>
          <w:color w:val="000000"/>
        </w:rPr>
        <w:t>Rôles</w:t>
      </w:r>
      <w:r>
        <w:rPr>
          <w:rFonts w:ascii="inter" w:eastAsia="inter" w:hAnsi="inter" w:cs="inter"/>
          <w:color w:val="000000"/>
        </w:rPr>
        <w:t xml:space="preserve"> : Experts radioprotection (zonage, validation compositions par calculs indépendants, cartographie doses, </w:t>
      </w:r>
      <w:r>
        <w:rPr>
          <w:rFonts w:ascii="inter" w:eastAsia="inter" w:hAnsi="inter" w:cs="inter"/>
          <w:color w:val="000000"/>
        </w:rPr>
        <w:lastRenderedPageBreak/>
        <w:t>méthodologie/équipements mesure) ; experts démantèlement (scénarios via DEM+, optimisation coûts/ALARA/déchets/filières, i</w:t>
      </w:r>
      <w:r>
        <w:rPr>
          <w:rFonts w:ascii="inter" w:eastAsia="inter" w:hAnsi="inter" w:cs="inter"/>
          <w:color w:val="000000"/>
        </w:rPr>
        <w:t xml:space="preserve">ntégration tritium). </w:t>
      </w:r>
      <w:r>
        <w:rPr>
          <w:rFonts w:ascii="inter" w:eastAsia="inter" w:hAnsi="inter" w:cs="inter"/>
          <w:b/>
          <w:color w:val="000000"/>
        </w:rPr>
        <w:t>Relations</w:t>
      </w:r>
      <w:r>
        <w:rPr>
          <w:rFonts w:ascii="inter" w:eastAsia="inter" w:hAnsi="inter" w:cs="inter"/>
          <w:color w:val="000000"/>
        </w:rPr>
        <w:t xml:space="preserve"> : Échanges réguliers (réunions inter-séances) ; feedback radioprotection → démantèlement pour finalisation scénarios ; coordination client (ARRONAX) via validation données et propositions ; responsable : M. Plouf (</w:t>
      </w:r>
      <w:hyperlink r:id="rId5">
        <w:r>
          <w:rPr>
            <w:rFonts w:ascii="inter" w:eastAsia="inter" w:hAnsi="inter" w:cs="inter"/>
            <w:u w:val="single"/>
          </w:rPr>
          <w:t>mars-ingenierie@subatech.in2p3.fr</w:t>
        </w:r>
      </w:hyperlink>
      <w:r>
        <w:rPr>
          <w:rFonts w:ascii="inter" w:eastAsia="inter" w:hAnsi="inter" w:cs="inter"/>
          <w:color w:val="000000"/>
        </w:rPr>
        <w:t>). Relation interne : Synchronisation pour livrables collectifs ; individualisation notes si sous-participation.</w:t>
      </w:r>
      <w:bookmarkStart w:id="22" w:name="fnref1_14"/>
      <w:bookmarkEnd w:id="22"/>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spacing w:before="315" w:after="105" w:line="360" w:lineRule="auto"/>
        <w:ind w:left="-30"/>
      </w:pPr>
      <w:bookmarkStart w:id="23" w:name="détail_des_étapes_échéances_atten_e2d422"/>
      <w:r>
        <w:rPr>
          <w:rFonts w:ascii="inter" w:eastAsia="inter" w:hAnsi="inter" w:cs="inter"/>
          <w:b/>
          <w:color w:val="000000"/>
          <w:sz w:val="24"/>
        </w:rPr>
        <w:t>Détail des Étapes, Éché</w:t>
      </w:r>
      <w:r>
        <w:rPr>
          <w:rFonts w:ascii="inter" w:eastAsia="inter" w:hAnsi="inter" w:cs="inter"/>
          <w:b/>
          <w:color w:val="000000"/>
          <w:sz w:val="24"/>
        </w:rPr>
        <w:t>ances, Attendus/Outputs</w:t>
      </w:r>
      <w:bookmarkEnd w:id="23"/>
    </w:p>
    <w:p w:rsidR="00E62337" w:rsidRDefault="008A5F7D">
      <w:pPr>
        <w:numPr>
          <w:ilvl w:val="0"/>
          <w:numId w:val="4"/>
        </w:numPr>
        <w:spacing w:before="105" w:after="105" w:line="360" w:lineRule="auto"/>
      </w:pPr>
      <w:r>
        <w:rPr>
          <w:rFonts w:ascii="inter" w:eastAsia="inter" w:hAnsi="inter" w:cs="inter"/>
          <w:b/>
          <w:color w:val="000000"/>
        </w:rPr>
        <w:t>Séance 1 (13/09/2024)</w:t>
      </w:r>
      <w:r>
        <w:rPr>
          <w:rFonts w:ascii="inter" w:eastAsia="inter" w:hAnsi="inter" w:cs="inter"/>
          <w:color w:val="000000"/>
        </w:rPr>
        <w:t xml:space="preserve"> : Présentation cahier charges, constitution groupes, démarrage travaux ; output : compréhension projet.</w:t>
      </w:r>
      <w:bookmarkStart w:id="24" w:name="fnref1_15"/>
      <w:bookmarkEnd w:id="24"/>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numPr>
          <w:ilvl w:val="0"/>
          <w:numId w:val="4"/>
        </w:numPr>
        <w:spacing w:before="105" w:after="105" w:line="360" w:lineRule="auto"/>
      </w:pPr>
      <w:r>
        <w:rPr>
          <w:rFonts w:ascii="inter" w:eastAsia="inter" w:hAnsi="inter" w:cs="inter"/>
          <w:b/>
          <w:color w:val="000000"/>
        </w:rPr>
        <w:t>Séance 2 (27/09/2024)</w:t>
      </w:r>
      <w:r>
        <w:rPr>
          <w:rFonts w:ascii="inter" w:eastAsia="inter" w:hAnsi="inter" w:cs="inter"/>
          <w:color w:val="000000"/>
        </w:rPr>
        <w:t xml:space="preserve"> : Présentation PPT (compréhension specs, Gantt avec pha</w:t>
      </w:r>
      <w:r>
        <w:rPr>
          <w:rFonts w:ascii="inter" w:eastAsia="inter" w:hAnsi="inter" w:cs="inter"/>
          <w:color w:val="000000"/>
        </w:rPr>
        <w:t>ses/jalons/délais intermédiaires, structure projet/responsabilités, phases échanges) ; output : PPT + Gantt.</w:t>
      </w:r>
      <w:bookmarkStart w:id="25" w:name="fnref1_16"/>
      <w:bookmarkEnd w:id="25"/>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numPr>
          <w:ilvl w:val="0"/>
          <w:numId w:val="4"/>
        </w:numPr>
        <w:spacing w:before="105" w:after="105" w:line="360" w:lineRule="auto"/>
      </w:pPr>
      <w:r>
        <w:rPr>
          <w:rFonts w:ascii="inter" w:eastAsia="inter" w:hAnsi="inter" w:cs="inter"/>
          <w:b/>
          <w:color w:val="000000"/>
        </w:rPr>
        <w:t>Séance 3 (08/10/2024)</w:t>
      </w:r>
      <w:r>
        <w:rPr>
          <w:rFonts w:ascii="inter" w:eastAsia="inter" w:hAnsi="inter" w:cs="inter"/>
          <w:color w:val="000000"/>
        </w:rPr>
        <w:t xml:space="preserve"> : Travail groupe.</w:t>
      </w:r>
      <w:bookmarkStart w:id="26" w:name="fnref1_17"/>
      <w:bookmarkEnd w:id="26"/>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numPr>
          <w:ilvl w:val="0"/>
          <w:numId w:val="4"/>
        </w:numPr>
        <w:spacing w:before="105" w:after="105" w:line="360" w:lineRule="auto"/>
      </w:pPr>
      <w:r>
        <w:rPr>
          <w:rFonts w:ascii="inter" w:eastAsia="inter" w:hAnsi="inter" w:cs="inter"/>
          <w:b/>
          <w:color w:val="000000"/>
        </w:rPr>
        <w:t>Séance 4 (04/11/2024) - Jalon 1</w:t>
      </w:r>
      <w:r>
        <w:rPr>
          <w:rFonts w:ascii="inter" w:eastAsia="inter" w:hAnsi="inter" w:cs="inter"/>
          <w:color w:val="000000"/>
        </w:rPr>
        <w:t xml:space="preserve"> : Résultats/métho</w:t>
      </w:r>
      <w:r>
        <w:rPr>
          <w:rFonts w:ascii="inter" w:eastAsia="inter" w:hAnsi="inter" w:cs="inter"/>
          <w:color w:val="000000"/>
        </w:rPr>
        <w:t>dologie cuve n°1 ; output : Présentation orale + support écrit (superviseurs).</w:t>
      </w:r>
      <w:bookmarkStart w:id="27" w:name="fnref1_18"/>
      <w:bookmarkEnd w:id="27"/>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numPr>
          <w:ilvl w:val="0"/>
          <w:numId w:val="4"/>
        </w:numPr>
        <w:spacing w:before="105" w:after="105" w:line="360" w:lineRule="auto"/>
      </w:pPr>
      <w:r>
        <w:rPr>
          <w:rFonts w:ascii="inter" w:eastAsia="inter" w:hAnsi="inter" w:cs="inter"/>
          <w:b/>
          <w:color w:val="000000"/>
        </w:rPr>
        <w:t>Séance 5 (09/12/2024) - Jalon 2</w:t>
      </w:r>
      <w:r>
        <w:rPr>
          <w:rFonts w:ascii="inter" w:eastAsia="inter" w:hAnsi="inter" w:cs="inter"/>
          <w:color w:val="000000"/>
        </w:rPr>
        <w:t xml:space="preserve"> : Zonage/carto radiologique (utiliser composition ARRONAX si calculs non prêts) ; output : Présentation + support éc</w:t>
      </w:r>
      <w:r>
        <w:rPr>
          <w:rFonts w:ascii="inter" w:eastAsia="inter" w:hAnsi="inter" w:cs="inter"/>
          <w:color w:val="000000"/>
        </w:rPr>
        <w:t>rit.</w:t>
      </w:r>
      <w:bookmarkStart w:id="28" w:name="fnref1_19"/>
      <w:bookmarkEnd w:id="28"/>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numPr>
          <w:ilvl w:val="0"/>
          <w:numId w:val="4"/>
        </w:numPr>
        <w:spacing w:before="105" w:after="105" w:line="360" w:lineRule="auto"/>
      </w:pPr>
      <w:r>
        <w:rPr>
          <w:rFonts w:ascii="inter" w:eastAsia="inter" w:hAnsi="inter" w:cs="inter"/>
          <w:b/>
          <w:color w:val="000000"/>
        </w:rPr>
        <w:t>Séance 6 (10/12/2024) - Jalon 3</w:t>
      </w:r>
      <w:r>
        <w:rPr>
          <w:rFonts w:ascii="inter" w:eastAsia="inter" w:hAnsi="inter" w:cs="inter"/>
          <w:color w:val="000000"/>
        </w:rPr>
        <w:t xml:space="preserve"> : Premier(s) scénario(s) démantèlement ; output : Présentation + support écrit.</w:t>
      </w:r>
      <w:bookmarkStart w:id="29" w:name="fnref1_20"/>
      <w:bookmarkEnd w:id="29"/>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numPr>
          <w:ilvl w:val="0"/>
          <w:numId w:val="4"/>
        </w:numPr>
        <w:spacing w:before="105" w:after="105" w:line="360" w:lineRule="auto"/>
      </w:pPr>
      <w:r>
        <w:rPr>
          <w:rFonts w:ascii="inter" w:eastAsia="inter" w:hAnsi="inter" w:cs="inter"/>
          <w:b/>
          <w:color w:val="000000"/>
        </w:rPr>
        <w:t>Séance 7 (12/12/2024) - Jalon final</w:t>
      </w:r>
      <w:r>
        <w:rPr>
          <w:rFonts w:ascii="inter" w:eastAsia="inter" w:hAnsi="inter" w:cs="inter"/>
          <w:color w:val="000000"/>
        </w:rPr>
        <w:t xml:space="preserve"> : Finalisation estimations/compositions/scéna</w:t>
      </w:r>
      <w:r>
        <w:rPr>
          <w:rFonts w:ascii="inter" w:eastAsia="inter" w:hAnsi="inter" w:cs="inter"/>
          <w:color w:val="000000"/>
        </w:rPr>
        <w:t>rios avec données définitives ; output : Document intégré.</w:t>
      </w:r>
      <w:bookmarkStart w:id="30" w:name="fnref1_21"/>
      <w:bookmarkEnd w:id="30"/>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numPr>
          <w:ilvl w:val="0"/>
          <w:numId w:val="4"/>
        </w:numPr>
        <w:spacing w:before="105" w:after="105" w:line="360" w:lineRule="auto"/>
      </w:pPr>
      <w:r>
        <w:rPr>
          <w:rFonts w:ascii="inter" w:eastAsia="inter" w:hAnsi="inter" w:cs="inter"/>
          <w:b/>
          <w:color w:val="000000"/>
        </w:rPr>
        <w:t>13/02/2025 (23h30)</w:t>
      </w:r>
      <w:r>
        <w:rPr>
          <w:rFonts w:ascii="inter" w:eastAsia="inter" w:hAnsi="inter" w:cs="inter"/>
          <w:color w:val="000000"/>
        </w:rPr>
        <w:t xml:space="preserve"> : Remise réponse appel d'offres ; output : Document Word/PDF (propositions, méthodologie, accusé réception à </w:t>
      </w:r>
      <w:hyperlink r:id="rId6">
        <w:r>
          <w:rPr>
            <w:rFonts w:ascii="inter" w:eastAsia="inter" w:hAnsi="inter" w:cs="inter"/>
            <w:u w:val="single"/>
          </w:rPr>
          <w:t>mars-ingenierie@subatech.in2p3.fr</w:t>
        </w:r>
      </w:hyperlink>
      <w:r>
        <w:rPr>
          <w:rFonts w:ascii="inter" w:eastAsia="inter" w:hAnsi="inter" w:cs="inter"/>
          <w:color w:val="000000"/>
        </w:rPr>
        <w:t>) ; collectif, interactions continues.</w:t>
      </w:r>
      <w:bookmarkStart w:id="31" w:name="fnref1_22"/>
      <w:bookmarkEnd w:id="31"/>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numPr>
          <w:ilvl w:val="0"/>
          <w:numId w:val="4"/>
        </w:numPr>
        <w:spacing w:before="105" w:after="105" w:line="360" w:lineRule="auto"/>
      </w:pPr>
      <w:r>
        <w:rPr>
          <w:rFonts w:ascii="inter" w:eastAsia="inter" w:hAnsi="inter" w:cs="inter"/>
          <w:b/>
          <w:color w:val="000000"/>
        </w:rPr>
        <w:t>Séance 8 (20/02/2025)</w:t>
      </w:r>
      <w:r>
        <w:rPr>
          <w:rFonts w:ascii="inter" w:eastAsia="inter" w:hAnsi="inter" w:cs="inter"/>
          <w:color w:val="000000"/>
        </w:rPr>
        <w:t xml:space="preserve"> : Soutenance ; output : Présentation 30 min/équipe (résultats/méthodologie,</w:t>
      </w:r>
      <w:r>
        <w:rPr>
          <w:rFonts w:ascii="inter" w:eastAsia="inter" w:hAnsi="inter" w:cs="inter"/>
          <w:color w:val="000000"/>
        </w:rPr>
        <w:t xml:space="preserve"> gestion projet, améliorations futures) + Q&amp;R.</w:t>
      </w:r>
      <w:bookmarkStart w:id="32" w:name="fnref1_23"/>
      <w:bookmarkEnd w:id="32"/>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r>
        <w:rPr>
          <w:rFonts w:ascii="inter" w:eastAsia="inter" w:hAnsi="inter" w:cs="inter"/>
          <w:color w:val="000000"/>
        </w:rPr>
        <w:br/>
      </w:r>
      <w:r>
        <w:rPr>
          <w:rFonts w:ascii="inter" w:eastAsia="inter" w:hAnsi="inter" w:cs="inter"/>
          <w:b/>
          <w:color w:val="000000"/>
        </w:rPr>
        <w:t>Contraintes</w:t>
      </w:r>
      <w:r>
        <w:rPr>
          <w:rFonts w:ascii="inter" w:eastAsia="inter" w:hAnsi="inter" w:cs="inter"/>
          <w:color w:val="000000"/>
        </w:rPr>
        <w:t xml:space="preserve"> : Collectif ; coordination pour timing (ex. : sync radioprotection avant démantèlement) ; T₀ à T₀+2 mois pour démarrage travaux réels.</w:t>
      </w:r>
      <w:bookmarkStart w:id="33" w:name="fnref1_24"/>
      <w:bookmarkEnd w:id="33"/>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spacing w:before="315" w:after="105" w:line="360" w:lineRule="auto"/>
        <w:ind w:left="-30"/>
      </w:pPr>
      <w:bookmarkStart w:id="34" w:name="annexe_méthodologique_formules_fo_b346e3"/>
      <w:r>
        <w:rPr>
          <w:rFonts w:ascii="inter" w:eastAsia="inter" w:hAnsi="inter" w:cs="inter"/>
          <w:b/>
          <w:color w:val="000000"/>
          <w:sz w:val="24"/>
        </w:rPr>
        <w:t>Anne</w:t>
      </w:r>
      <w:r>
        <w:rPr>
          <w:rFonts w:ascii="inter" w:eastAsia="inter" w:hAnsi="inter" w:cs="inter"/>
          <w:b/>
          <w:color w:val="000000"/>
          <w:sz w:val="24"/>
        </w:rPr>
        <w:t>xe Méthodologique, Formules Fondamentales, Bases de Données à Utiliser</w:t>
      </w:r>
      <w:bookmarkEnd w:id="34"/>
    </w:p>
    <w:p w:rsidR="00E62337" w:rsidRDefault="008A5F7D">
      <w:pPr>
        <w:spacing w:before="315" w:after="105" w:line="360" w:lineRule="auto"/>
        <w:ind w:left="-30"/>
      </w:pPr>
      <w:bookmarkStart w:id="35" w:name="bases_de_données_et_outils_annexe_4"/>
      <w:r>
        <w:rPr>
          <w:rFonts w:ascii="inter" w:eastAsia="inter" w:hAnsi="inter" w:cs="inter"/>
          <w:b/>
          <w:color w:val="000000"/>
          <w:sz w:val="24"/>
        </w:rPr>
        <w:t>Bases de Données et Outils (Annexe 4)</w:t>
      </w:r>
      <w:bookmarkEnd w:id="35"/>
    </w:p>
    <w:p w:rsidR="00E62337" w:rsidRDefault="008A5F7D">
      <w:pPr>
        <w:numPr>
          <w:ilvl w:val="0"/>
          <w:numId w:val="5"/>
        </w:numPr>
        <w:spacing w:before="105" w:after="105" w:line="360" w:lineRule="auto"/>
      </w:pPr>
      <w:r>
        <w:rPr>
          <w:rFonts w:ascii="inter" w:eastAsia="inter" w:hAnsi="inter" w:cs="inter"/>
          <w:b/>
          <w:color w:val="000000"/>
        </w:rPr>
        <w:lastRenderedPageBreak/>
        <w:t>Données nucléaires (NNDC, US DOE)</w:t>
      </w:r>
      <w:r>
        <w:rPr>
          <w:rFonts w:ascii="inter" w:eastAsia="inter" w:hAnsi="inter" w:cs="inter"/>
          <w:color w:val="000000"/>
        </w:rPr>
        <w:t xml:space="preserve"> : </w:t>
      </w:r>
      <w:hyperlink r:id="rId7">
        <w:r>
          <w:rPr>
            <w:rFonts w:ascii="inter" w:eastAsia="inter" w:hAnsi="inter" w:cs="inter"/>
            <w:u w:val="single"/>
          </w:rPr>
          <w:t>https://www.nndc.bnl.gov/</w:t>
        </w:r>
      </w:hyperlink>
      <w:r>
        <w:rPr>
          <w:rFonts w:ascii="inter" w:eastAsia="inter" w:hAnsi="inter" w:cs="inter"/>
          <w:color w:val="000000"/>
        </w:rPr>
        <w:t xml:space="preserve"> ; NuDat2 (chart) : </w:t>
      </w:r>
      <w:hyperlink r:id="rId8">
        <w:r>
          <w:rPr>
            <w:rFonts w:ascii="inter" w:eastAsia="inter" w:hAnsi="inter" w:cs="inter"/>
            <w:u w:val="single"/>
          </w:rPr>
          <w:t>https://www.nndc.bnl.gov/chart/</w:t>
        </w:r>
      </w:hyperlink>
      <w:r>
        <w:rPr>
          <w:rFonts w:ascii="inter" w:eastAsia="inter" w:hAnsi="inter" w:cs="inter"/>
          <w:color w:val="000000"/>
        </w:rPr>
        <w:t xml:space="preserve"> ; recherche désintégrations : </w:t>
      </w:r>
      <w:hyperlink r:id="rId9">
        <w:r>
          <w:rPr>
            <w:rFonts w:ascii="inter" w:eastAsia="inter" w:hAnsi="inter" w:cs="inter"/>
            <w:u w:val="single"/>
          </w:rPr>
          <w:t>https://www.nndc.bnl.gov/nudat2/indx_dec.jsp</w:t>
        </w:r>
      </w:hyperlink>
      <w:r>
        <w:rPr>
          <w:rFonts w:ascii="inter" w:eastAsia="inter" w:hAnsi="inter" w:cs="inter"/>
          <w:color w:val="000000"/>
        </w:rPr>
        <w:t>.</w:t>
      </w:r>
      <w:bookmarkStart w:id="36" w:name="fnref1_25"/>
      <w:bookmarkEnd w:id="36"/>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numPr>
          <w:ilvl w:val="0"/>
          <w:numId w:val="5"/>
        </w:numPr>
        <w:spacing w:before="105" w:after="105" w:line="360" w:lineRule="auto"/>
      </w:pPr>
      <w:r>
        <w:rPr>
          <w:rFonts w:ascii="inter" w:eastAsia="inter" w:hAnsi="inter" w:cs="inter"/>
          <w:b/>
          <w:color w:val="000000"/>
        </w:rPr>
        <w:t>Sections efficaces produc</w:t>
      </w:r>
      <w:r>
        <w:rPr>
          <w:rFonts w:ascii="inter" w:eastAsia="inter" w:hAnsi="inter" w:cs="inter"/>
          <w:b/>
          <w:color w:val="000000"/>
        </w:rPr>
        <w:t>tion</w:t>
      </w:r>
      <w:r>
        <w:rPr>
          <w:rFonts w:ascii="inter" w:eastAsia="inter" w:hAnsi="inter" w:cs="inter"/>
          <w:color w:val="000000"/>
        </w:rPr>
        <w:t xml:space="preserve"> : EXFOR : </w:t>
      </w:r>
      <w:hyperlink r:id="rId10">
        <w:r>
          <w:rPr>
            <w:rFonts w:ascii="inter" w:eastAsia="inter" w:hAnsi="inter" w:cs="inter"/>
            <w:u w:val="single"/>
          </w:rPr>
          <w:t>https://www.nndc.bnl.gov/exfor/exfor.htm</w:t>
        </w:r>
      </w:hyperlink>
      <w:r>
        <w:rPr>
          <w:rFonts w:ascii="inter" w:eastAsia="inter" w:hAnsi="inter" w:cs="inter"/>
          <w:color w:val="000000"/>
        </w:rPr>
        <w:t xml:space="preserve"> ; alternative TENDL.</w:t>
      </w:r>
      <w:bookmarkStart w:id="37" w:name="fnref1_26"/>
      <w:bookmarkEnd w:id="37"/>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numPr>
          <w:ilvl w:val="0"/>
          <w:numId w:val="5"/>
        </w:numPr>
        <w:spacing w:before="105" w:after="105" w:line="360" w:lineRule="auto"/>
      </w:pPr>
      <w:r>
        <w:rPr>
          <w:rFonts w:ascii="inter" w:eastAsia="inter" w:hAnsi="inter" w:cs="inter"/>
          <w:b/>
          <w:color w:val="000000"/>
        </w:rPr>
        <w:t>Interactions particules/matière</w:t>
      </w:r>
      <w:r>
        <w:rPr>
          <w:rFonts w:ascii="inter" w:eastAsia="inter" w:hAnsi="inter" w:cs="inter"/>
          <w:color w:val="000000"/>
        </w:rPr>
        <w:t xml:space="preserve"> : SRIM (gratuit) : </w:t>
      </w:r>
      <w:hyperlink r:id="rId11">
        <w:r>
          <w:rPr>
            <w:rFonts w:ascii="inter" w:eastAsia="inter" w:hAnsi="inter" w:cs="inter"/>
            <w:u w:val="single"/>
          </w:rPr>
          <w:t>http://www.srim.org/</w:t>
        </w:r>
      </w:hyperlink>
      <w:r>
        <w:rPr>
          <w:rFonts w:ascii="inter" w:eastAsia="inter" w:hAnsi="inter" w:cs="inter"/>
          <w:color w:val="000000"/>
        </w:rPr>
        <w:t>.</w:t>
      </w:r>
      <w:bookmarkStart w:id="38" w:name="fnref1_27"/>
      <w:bookmarkEnd w:id="38"/>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numPr>
          <w:ilvl w:val="0"/>
          <w:numId w:val="5"/>
        </w:numPr>
        <w:spacing w:before="105" w:after="105" w:line="360" w:lineRule="auto"/>
      </w:pPr>
      <w:r>
        <w:rPr>
          <w:rFonts w:ascii="inter" w:eastAsia="inter" w:hAnsi="inter" w:cs="inter"/>
          <w:b/>
          <w:color w:val="000000"/>
        </w:rPr>
        <w:t>Atténuation photons</w:t>
      </w:r>
      <w:r>
        <w:rPr>
          <w:rFonts w:ascii="inter" w:eastAsia="inter" w:hAnsi="inter" w:cs="inter"/>
          <w:color w:val="000000"/>
        </w:rPr>
        <w:t xml:space="preserve"> : Tables NIST : </w:t>
      </w:r>
      <w:hyperlink r:id="rId12">
        <w:r>
          <w:rPr>
            <w:rFonts w:ascii="inter" w:eastAsia="inter" w:hAnsi="inter" w:cs="inter"/>
            <w:u w:val="single"/>
          </w:rPr>
          <w:t>https://www.nist.gov/pml/x-ray-mass-attenuation-coefficients</w:t>
        </w:r>
      </w:hyperlink>
      <w:r>
        <w:rPr>
          <w:rFonts w:ascii="inter" w:eastAsia="inter" w:hAnsi="inter" w:cs="inter"/>
          <w:color w:val="000000"/>
        </w:rPr>
        <w:t>.</w:t>
      </w:r>
      <w:bookmarkStart w:id="39" w:name="fnref1_28"/>
      <w:bookmarkEnd w:id="39"/>
      <w:r>
        <w:fldChar w:fldCharType="begin"/>
      </w:r>
      <w:r>
        <w:instrText xml:space="preserve"> HYPERLINK \l "fn1" \h </w:instrText>
      </w:r>
      <w:r>
        <w:fldChar w:fldCharType="separate"/>
      </w:r>
      <w:r>
        <w:rPr>
          <w:rFonts w:ascii="inter" w:eastAsia="inter" w:hAnsi="inter" w:cs="inter"/>
          <w:u w:val="single"/>
          <w:vertAlign w:val="superscript"/>
        </w:rPr>
        <w:t>[</w:t>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numPr>
          <w:ilvl w:val="0"/>
          <w:numId w:val="5"/>
        </w:numPr>
        <w:spacing w:before="105" w:after="105" w:line="360" w:lineRule="auto"/>
      </w:pPr>
      <w:r>
        <w:rPr>
          <w:rFonts w:ascii="inter" w:eastAsia="inter" w:hAnsi="inter" w:cs="inter"/>
          <w:b/>
          <w:color w:val="000000"/>
        </w:rPr>
        <w:t>Facteurs build-up</w:t>
      </w:r>
      <w:r>
        <w:rPr>
          <w:rFonts w:ascii="inter" w:eastAsia="inter" w:hAnsi="inter" w:cs="inter"/>
          <w:color w:val="000000"/>
        </w:rPr>
        <w:t xml:space="preserve"> : </w:t>
      </w:r>
      <w:hyperlink r:id="rId13">
        <w:r>
          <w:rPr>
            <w:rFonts w:ascii="inter" w:eastAsia="inter" w:hAnsi="inter" w:cs="inter"/>
            <w:u w:val="single"/>
          </w:rPr>
          <w:t>http://www.radprocalculator.com/Files/ShieldingandBuildup.pdf</w:t>
        </w:r>
      </w:hyperlink>
      <w:r>
        <w:rPr>
          <w:rFonts w:ascii="inter" w:eastAsia="inter" w:hAnsi="inter" w:cs="inter"/>
          <w:color w:val="000000"/>
        </w:rPr>
        <w:t xml:space="preserve"> ; tables acier/plomb (contacter PN).</w:t>
      </w:r>
      <w:bookmarkStart w:id="40" w:name="fnref1_29"/>
      <w:bookmarkEnd w:id="40"/>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numPr>
          <w:ilvl w:val="0"/>
          <w:numId w:val="5"/>
        </w:numPr>
        <w:spacing w:before="105" w:after="105" w:line="360" w:lineRule="auto"/>
      </w:pPr>
      <w:r w:rsidRPr="00A8459D">
        <w:rPr>
          <w:rFonts w:ascii="inter" w:eastAsia="inter" w:hAnsi="inter" w:cs="inter"/>
          <w:b/>
          <w:color w:val="000000"/>
          <w:lang w:val="en-US"/>
        </w:rPr>
        <w:t xml:space="preserve">RYC (Radionuclide Yield </w:t>
      </w:r>
      <w:r w:rsidRPr="00A8459D">
        <w:rPr>
          <w:rFonts w:ascii="inter" w:eastAsia="inter" w:hAnsi="inter" w:cs="inter"/>
          <w:b/>
          <w:color w:val="000000"/>
          <w:lang w:val="en-US"/>
        </w:rPr>
        <w:t>Calculator)</w:t>
      </w:r>
      <w:r w:rsidRPr="00A8459D">
        <w:rPr>
          <w:rFonts w:ascii="inter" w:eastAsia="inter" w:hAnsi="inter" w:cs="inter"/>
          <w:color w:val="000000"/>
          <w:lang w:val="en-US"/>
        </w:rPr>
        <w:t xml:space="preserve"> : </w:t>
      </w:r>
      <w:hyperlink r:id="rId14">
        <w:r w:rsidRPr="00A8459D">
          <w:rPr>
            <w:rFonts w:ascii="inter" w:eastAsia="inter" w:hAnsi="inter" w:cs="inter"/>
            <w:u w:val="single"/>
            <w:lang w:val="en-US"/>
          </w:rPr>
          <w:t>https://www.arronax-nantes.fr/outil-telechargement/outils-radionuclide-yield-calculator/</w:t>
        </w:r>
      </w:hyperlink>
      <w:r w:rsidRPr="00A8459D">
        <w:rPr>
          <w:rFonts w:ascii="inter" w:eastAsia="inter" w:hAnsi="inter" w:cs="inter"/>
          <w:color w:val="000000"/>
          <w:lang w:val="en-US"/>
        </w:rPr>
        <w:t xml:space="preserve"> (sans filiations).</w:t>
      </w:r>
      <w:bookmarkStart w:id="41" w:name="fnref1_30"/>
      <w:bookmarkEnd w:id="41"/>
      <w:r>
        <w:fldChar w:fldCharType="begin"/>
      </w:r>
      <w:r w:rsidRPr="00A8459D">
        <w:rPr>
          <w:lang w:val="en-US"/>
        </w:rPr>
        <w:instrText xml:space="preserve"> HYPERLINK \l "fn1" \h </w:instrText>
      </w:r>
      <w:r>
        <w:fldChar w:fldCharType="separate"/>
      </w:r>
      <w:r>
        <w:rPr>
          <w:rFonts w:ascii="inter" w:eastAsia="inter" w:hAnsi="inter" w:cs="inter"/>
          <w:u w:val="single"/>
          <w:vertAlign w:val="superscript"/>
        </w:rPr>
        <w:t>[</w:t>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numPr>
          <w:ilvl w:val="0"/>
          <w:numId w:val="5"/>
        </w:numPr>
        <w:spacing w:before="105" w:after="105" w:line="360" w:lineRule="auto"/>
      </w:pPr>
      <w:r>
        <w:rPr>
          <w:rFonts w:ascii="inter" w:eastAsia="inter" w:hAnsi="inter" w:cs="inter"/>
          <w:b/>
          <w:color w:val="000000"/>
        </w:rPr>
        <w:t>Outils simulation</w:t>
      </w:r>
      <w:r>
        <w:rPr>
          <w:rFonts w:ascii="inter" w:eastAsia="inter" w:hAnsi="inter" w:cs="inter"/>
          <w:color w:val="000000"/>
        </w:rPr>
        <w:t xml:space="preserve"> : DEM+ (batch 01 cellule 241B) ; Monte-Carlo (bonus, ex. TP : MCNP/GEANT4).</w:t>
      </w:r>
      <w:bookmarkStart w:id="42" w:name="fnref1_31"/>
      <w:bookmarkEnd w:id="42"/>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numPr>
          <w:ilvl w:val="0"/>
          <w:numId w:val="5"/>
        </w:numPr>
        <w:spacing w:before="105" w:after="105" w:line="360" w:lineRule="auto"/>
      </w:pPr>
      <w:r>
        <w:rPr>
          <w:rFonts w:ascii="inter" w:eastAsia="inter" w:hAnsi="inter" w:cs="inter"/>
          <w:b/>
          <w:color w:val="000000"/>
        </w:rPr>
        <w:t>Gestion projet (Annexe 3)</w:t>
      </w:r>
      <w:r>
        <w:rPr>
          <w:rFonts w:ascii="inter" w:eastAsia="inter" w:hAnsi="inter" w:cs="inter"/>
          <w:color w:val="000000"/>
        </w:rPr>
        <w:t xml:space="preserve"> : Cours Master ; MOOC Rémi Bachelet : </w:t>
      </w:r>
      <w:hyperlink r:id="rId15">
        <w:r>
          <w:rPr>
            <w:rFonts w:ascii="inter" w:eastAsia="inter" w:hAnsi="inter" w:cs="inter"/>
            <w:u w:val="single"/>
          </w:rPr>
          <w:t>https://mooc.g</w:t>
        </w:r>
        <w:r>
          <w:rPr>
            <w:rFonts w:ascii="inter" w:eastAsia="inter" w:hAnsi="inter" w:cs="inter"/>
            <w:u w:val="single"/>
          </w:rPr>
          <w:t>estiondeprojet.pm/</w:t>
        </w:r>
      </w:hyperlink>
      <w:r>
        <w:rPr>
          <w:rFonts w:ascii="inter" w:eastAsia="inter" w:hAnsi="inter" w:cs="inter"/>
          <w:color w:val="000000"/>
        </w:rPr>
        <w:t xml:space="preserve"> ; article Le Monde : </w:t>
      </w:r>
      <w:hyperlink r:id="rId16">
        <w:r>
          <w:rPr>
            <w:rFonts w:ascii="inter" w:eastAsia="inter" w:hAnsi="inter" w:cs="inter"/>
            <w:u w:val="single"/>
          </w:rPr>
          <w:t>http://www.lemonde.fr/campus/article/2017/01/05/gestion-de-projet-le-</w:t>
        </w:r>
        <w:r>
          <w:rPr>
            <w:rFonts w:ascii="inter" w:eastAsia="inter" w:hAnsi="inter" w:cs="inter"/>
            <w:u w:val="single"/>
          </w:rPr>
          <w:t>mooc-a-grand-succes-de-centrale-lille_5058190_4401467.html</w:t>
        </w:r>
      </w:hyperlink>
      <w:r>
        <w:rPr>
          <w:rFonts w:ascii="inter" w:eastAsia="inter" w:hAnsi="inter" w:cs="inter"/>
          <w:color w:val="000000"/>
        </w:rPr>
        <w:t xml:space="preserve"> ; Gantt Excel : </w:t>
      </w:r>
      <w:hyperlink r:id="rId17">
        <w:r>
          <w:rPr>
            <w:rFonts w:ascii="inter" w:eastAsia="inter" w:hAnsi="inter" w:cs="inter"/>
            <w:u w:val="single"/>
          </w:rPr>
          <w:t>https://www.excel-exercice.com/diagramme-de-gantt/</w:t>
        </w:r>
      </w:hyperlink>
      <w:r>
        <w:rPr>
          <w:rFonts w:ascii="inter" w:eastAsia="inter" w:hAnsi="inter" w:cs="inter"/>
          <w:color w:val="000000"/>
        </w:rPr>
        <w:t>.</w:t>
      </w:r>
      <w:bookmarkStart w:id="43" w:name="fnref1_32"/>
      <w:bookmarkEnd w:id="43"/>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spacing w:before="315" w:after="105" w:line="360" w:lineRule="auto"/>
        <w:ind w:left="-30"/>
      </w:pPr>
      <w:bookmarkStart w:id="44" w:name="formules_fondamentales_et_conditi_1dc291"/>
      <w:r>
        <w:rPr>
          <w:rFonts w:ascii="inter" w:eastAsia="inter" w:hAnsi="inter" w:cs="inter"/>
          <w:b/>
          <w:color w:val="000000"/>
          <w:sz w:val="24"/>
        </w:rPr>
        <w:t>Formules Fondamentales et Conditions d'Application (Encart Technique)</w:t>
      </w:r>
      <w:bookmarkEnd w:id="44"/>
    </w:p>
    <w:p w:rsidR="00E62337" w:rsidRDefault="008A5F7D">
      <w:pPr>
        <w:numPr>
          <w:ilvl w:val="0"/>
          <w:numId w:val="6"/>
        </w:numPr>
        <w:spacing w:before="105" w:after="105" w:line="360" w:lineRule="auto"/>
      </w:pPr>
      <w:r>
        <w:rPr>
          <w:rFonts w:ascii="inter" w:eastAsia="inter" w:hAnsi="inter" w:cs="inter"/>
          <w:b/>
          <w:color w:val="000000"/>
        </w:rPr>
        <w:t>Production activité cible épaisse</w:t>
      </w:r>
      <w:r>
        <w:rPr>
          <w:rFonts w:ascii="inter" w:eastAsia="inter" w:hAnsi="inter" w:cs="inter"/>
          <w:color w:val="000000"/>
        </w:rPr>
        <w:t xml:space="preserve"> :</w:t>
      </w:r>
      <w:r>
        <w:rPr>
          <w:rFonts w:ascii="inter" w:eastAsia="inter" w:hAnsi="inter" w:cs="inter"/>
          <w:color w:val="000000"/>
        </w:rPr>
        <w:br/>
        <w:t>$ A_{ct} = c \cdot f \cdot \frac{N_A}{A} \cdot \lambda \cdot (1 - e^{-\lambda t_{irr}}) \cdot \rho \cdot \int_{E_{fin}}^{E_{in}} \frac{\sigma(E)}{dE/d</w:t>
      </w:r>
      <w:r>
        <w:rPr>
          <w:rFonts w:ascii="inter" w:eastAsia="inter" w:hAnsi="inter" w:cs="inter"/>
          <w:color w:val="000000"/>
        </w:rPr>
        <w:t>x} , dE $</w:t>
      </w:r>
      <w:r>
        <w:rPr>
          <w:rFonts w:ascii="inter" w:eastAsia="inter" w:hAnsi="inter" w:cs="inter"/>
          <w:color w:val="000000"/>
        </w:rPr>
        <w:br/>
        <w:t xml:space="preserve">(Activité Bq fin irradiation ; σ constante moyenne ; sans filiations ; pour filiations : voir </w:t>
      </w:r>
      <w:hyperlink r:id="rId18">
        <w:r>
          <w:rPr>
            <w:rFonts w:ascii="inter" w:eastAsia="inter" w:hAnsi="inter" w:cs="inter"/>
            <w:u w:val="single"/>
          </w:rPr>
          <w:t>http://iopscience.iop.org/article/10.1088/0031-9155/56/17/002/pdf</w:t>
        </w:r>
      </w:hyperlink>
      <w:r>
        <w:rPr>
          <w:rFonts w:ascii="inter" w:eastAsia="inter" w:hAnsi="inter" w:cs="inter"/>
          <w:color w:val="000000"/>
        </w:rPr>
        <w:t xml:space="preserve"> )</w:t>
      </w:r>
      <w:r>
        <w:rPr>
          <w:rFonts w:ascii="inter" w:eastAsia="inter" w:hAnsi="inter" w:cs="inter"/>
          <w:color w:val="000000"/>
        </w:rPr>
        <w:t>.</w:t>
      </w:r>
      <w:bookmarkStart w:id="45" w:name="fnref1_33"/>
      <w:bookmarkEnd w:id="45"/>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numPr>
          <w:ilvl w:val="0"/>
          <w:numId w:val="6"/>
        </w:numPr>
        <w:spacing w:before="105" w:after="105" w:line="360" w:lineRule="auto"/>
      </w:pPr>
      <w:r>
        <w:rPr>
          <w:rFonts w:ascii="inter" w:eastAsia="inter" w:hAnsi="inter" w:cs="inter"/>
          <w:b/>
          <w:color w:val="000000"/>
        </w:rPr>
        <w:t>Débit dose photons (source ponctuelle)</w:t>
      </w:r>
      <w:r>
        <w:rPr>
          <w:rFonts w:ascii="inter" w:eastAsia="inter" w:hAnsi="inter" w:cs="inter"/>
          <w:color w:val="000000"/>
        </w:rPr>
        <w:t xml:space="preserve"> :</w:t>
      </w:r>
      <w:r>
        <w:rPr>
          <w:rFonts w:ascii="inter" w:eastAsia="inter" w:hAnsi="inter" w:cs="inter"/>
          <w:color w:val="000000"/>
        </w:rPr>
        <w:br/>
        <w:t>$ \frac{dD}{dt} = \frac{A \cdot E \cdot I \cdot 10</w:t>
      </w:r>
      <w:r>
        <w:rPr>
          <w:rFonts w:ascii="inter" w:eastAsia="inter" w:hAnsi="inter" w:cs="inter"/>
          <w:color w:val="000000"/>
          <w:vertAlign w:val="superscript"/>
        </w:rPr>
        <w:t>{-3}}{d</w:t>
      </w:r>
      <w:r>
        <w:rPr>
          <w:rFonts w:ascii="inter" w:eastAsia="inter" w:hAnsi="inter" w:cs="inter"/>
          <w:color w:val="000000"/>
        </w:rPr>
        <w:t>2} $ (mSv/h ; somme contributions raies ; unités : 1 Ci = 3,7 × 10¹⁰ Bq ).</w:t>
      </w:r>
      <w:bookmarkStart w:id="46" w:name="fnref1_34"/>
      <w:bookmarkEnd w:id="46"/>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numPr>
          <w:ilvl w:val="0"/>
          <w:numId w:val="6"/>
        </w:numPr>
        <w:spacing w:before="105" w:after="105" w:line="360" w:lineRule="auto"/>
      </w:pPr>
      <w:r w:rsidRPr="00A8459D">
        <w:rPr>
          <w:rFonts w:ascii="inter" w:eastAsia="inter" w:hAnsi="inter" w:cs="inter"/>
          <w:b/>
          <w:color w:val="000000"/>
          <w:lang w:val="en-US"/>
        </w:rPr>
        <w:t>Atténuation linéaire photons (avec build-up)</w:t>
      </w:r>
      <w:r w:rsidRPr="00A8459D">
        <w:rPr>
          <w:rFonts w:ascii="inter" w:eastAsia="inter" w:hAnsi="inter" w:cs="inter"/>
          <w:color w:val="000000"/>
          <w:lang w:val="en-US"/>
        </w:rPr>
        <w:t xml:space="preserve"> :</w:t>
      </w:r>
      <w:r w:rsidRPr="00A8459D">
        <w:rPr>
          <w:rFonts w:ascii="inter" w:eastAsia="inter" w:hAnsi="inter" w:cs="inter"/>
          <w:color w:val="000000"/>
          <w:lang w:val="en-US"/>
        </w:rPr>
        <w:br/>
        <w:t>$ I_B = I_A \cdot b \cdot e^{-\mu x} $</w:t>
      </w:r>
      <w:r w:rsidRPr="00A8459D">
        <w:rPr>
          <w:rFonts w:ascii="inter" w:eastAsia="inter" w:hAnsi="inter" w:cs="inter"/>
          <w:color w:val="000000"/>
          <w:lang w:val="en-US"/>
        </w:rPr>
        <w:br/>
        <w:t xml:space="preserve">(IB : dose atténuée ; b : facteur build-up ; </w:t>
      </w:r>
      <w:r>
        <w:rPr>
          <w:rFonts w:ascii="inter" w:eastAsia="inter" w:hAnsi="inter" w:cs="inter"/>
          <w:color w:val="000000"/>
        </w:rPr>
        <w:t>μ</w:t>
      </w:r>
      <w:r w:rsidRPr="00A8459D">
        <w:rPr>
          <w:rFonts w:ascii="inter" w:eastAsia="inter" w:hAnsi="inter" w:cs="inter"/>
          <w:color w:val="000000"/>
          <w:lang w:val="en-US"/>
        </w:rPr>
        <w:t xml:space="preserve"> : cm⁻¹ NIST ; x : cm ).</w:t>
      </w:r>
      <w:bookmarkStart w:id="47" w:name="fnref1_35"/>
      <w:bookmarkEnd w:id="47"/>
      <w:r>
        <w:fldChar w:fldCharType="begin"/>
      </w:r>
      <w:r w:rsidRPr="00A8459D">
        <w:rPr>
          <w:lang w:val="en-US"/>
        </w:rP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numPr>
          <w:ilvl w:val="0"/>
          <w:numId w:val="6"/>
        </w:numPr>
        <w:spacing w:before="105" w:after="105" w:line="360" w:lineRule="auto"/>
      </w:pPr>
      <w:r>
        <w:rPr>
          <w:rFonts w:ascii="inter" w:eastAsia="inter" w:hAnsi="inter" w:cs="inter"/>
          <w:b/>
          <w:color w:val="000000"/>
        </w:rPr>
        <w:lastRenderedPageBreak/>
        <w:t>Hypothèses à valider</w:t>
      </w:r>
      <w:r>
        <w:rPr>
          <w:rFonts w:ascii="inter" w:eastAsia="inter" w:hAnsi="inter" w:cs="inter"/>
          <w:color w:val="000000"/>
        </w:rPr>
        <w:t xml:space="preserve"> : Rayonnements électromagnétiques uniquement (γ) </w:t>
      </w:r>
      <w:r>
        <w:rPr>
          <w:rFonts w:ascii="inter" w:eastAsia="inter" w:hAnsi="inter" w:cs="inter"/>
          <w:color w:val="000000"/>
        </w:rPr>
        <w:t>; négliger Bremsstrahlung (épaisseur acier 4 mm arrête particules chargées) ; source ponctuelle ; compositions à croiser (calculs indépendants vs ARRONAX, DEM+, Monte-Carlo) ; méthodologie : expliquer calculs, lister équipements (dosimètres γ, spectromètre</w:t>
      </w:r>
      <w:r>
        <w:rPr>
          <w:rFonts w:ascii="inter" w:eastAsia="inter" w:hAnsi="inter" w:cs="inter"/>
          <w:color w:val="000000"/>
        </w:rPr>
        <w:t>s, etc.).</w:t>
      </w:r>
      <w:bookmarkStart w:id="48" w:name="fnref1_36"/>
      <w:bookmarkEnd w:id="48"/>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spacing w:before="315" w:after="105" w:line="360" w:lineRule="auto"/>
        <w:ind w:left="-30"/>
      </w:pPr>
      <w:bookmarkStart w:id="49" w:name="synthèse_des_critères_d_évaluatio_9e702d"/>
      <w:r>
        <w:rPr>
          <w:rFonts w:ascii="inter" w:eastAsia="inter" w:hAnsi="inter" w:cs="inter"/>
          <w:b/>
          <w:color w:val="000000"/>
          <w:sz w:val="24"/>
        </w:rPr>
        <w:t>Synthèse des Critères d'Évaluation de la Prestation</w:t>
      </w:r>
      <w:bookmarkEnd w:id="49"/>
    </w:p>
    <w:p w:rsidR="00E62337" w:rsidRDefault="008A5F7D">
      <w:pPr>
        <w:numPr>
          <w:ilvl w:val="0"/>
          <w:numId w:val="7"/>
        </w:numPr>
        <w:spacing w:before="105" w:after="105" w:line="360" w:lineRule="auto"/>
      </w:pPr>
      <w:r>
        <w:rPr>
          <w:rFonts w:ascii="inter" w:eastAsia="inter" w:hAnsi="inter" w:cs="inter"/>
          <w:b/>
          <w:color w:val="000000"/>
        </w:rPr>
        <w:t>Aspects techniques (40%)</w:t>
      </w:r>
      <w:r>
        <w:rPr>
          <w:rFonts w:ascii="inter" w:eastAsia="inter" w:hAnsi="inter" w:cs="inter"/>
          <w:color w:val="000000"/>
        </w:rPr>
        <w:t xml:space="preserve"> : Robustesse méthodologie/calculs ; qualité zonage/carto (comparaison DEM+, bonus Monte-Carlo) ; validation compositions indépendantes ; per</w:t>
      </w:r>
      <w:r>
        <w:rPr>
          <w:rFonts w:ascii="inter" w:eastAsia="inter" w:hAnsi="inter" w:cs="inter"/>
          <w:color w:val="000000"/>
        </w:rPr>
        <w:t>tinence scénarios (ALARA, tritium, déchets minimisés/filières) ; justification négligences (reculs, Bremsstrahlung).</w:t>
      </w:r>
      <w:bookmarkStart w:id="50" w:name="fnref1_37"/>
      <w:bookmarkEnd w:id="50"/>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numPr>
          <w:ilvl w:val="0"/>
          <w:numId w:val="7"/>
        </w:numPr>
        <w:spacing w:before="105" w:after="105" w:line="360" w:lineRule="auto"/>
      </w:pPr>
      <w:r>
        <w:rPr>
          <w:rFonts w:ascii="inter" w:eastAsia="inter" w:hAnsi="inter" w:cs="inter"/>
          <w:b/>
          <w:color w:val="000000"/>
        </w:rPr>
        <w:t>Aspects financiers (40%)</w:t>
      </w:r>
      <w:r>
        <w:rPr>
          <w:rFonts w:ascii="inter" w:eastAsia="inter" w:hAnsi="inter" w:cs="inter"/>
          <w:color w:val="000000"/>
        </w:rPr>
        <w:t xml:space="preserve"> : Optimisation coûts démantèlement ; rapport coût/sécurité (basé sur compositions val</w:t>
      </w:r>
      <w:r>
        <w:rPr>
          <w:rFonts w:ascii="inter" w:eastAsia="inter" w:hAnsi="inter" w:cs="inter"/>
          <w:color w:val="000000"/>
        </w:rPr>
        <w:t>idées).</w:t>
      </w:r>
      <w:bookmarkStart w:id="51" w:name="fnref1_38"/>
      <w:bookmarkEnd w:id="51"/>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numPr>
          <w:ilvl w:val="0"/>
          <w:numId w:val="7"/>
        </w:numPr>
        <w:spacing w:before="105" w:after="105" w:line="360" w:lineRule="auto"/>
      </w:pPr>
      <w:r>
        <w:rPr>
          <w:rFonts w:ascii="inter" w:eastAsia="inter" w:hAnsi="inter" w:cs="inter"/>
          <w:b/>
          <w:color w:val="000000"/>
        </w:rPr>
        <w:t>Impact activité site (20%)</w:t>
      </w:r>
      <w:r>
        <w:rPr>
          <w:rFonts w:ascii="inter" w:eastAsia="inter" w:hAnsi="inter" w:cs="inter"/>
          <w:color w:val="000000"/>
        </w:rPr>
        <w:t xml:space="preserve"> : Durée intervention minimisée ; perturbation limitée ARRONAX (planning, accès).</w:t>
      </w:r>
      <w:bookmarkStart w:id="52" w:name="fnref1_39"/>
      <w:bookmarkEnd w:id="52"/>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r>
        <w:rPr>
          <w:rFonts w:ascii="inter" w:eastAsia="inter" w:hAnsi="inter" w:cs="inter"/>
          <w:color w:val="000000"/>
        </w:rPr>
        <w:br/>
      </w:r>
      <w:r>
        <w:rPr>
          <w:rFonts w:ascii="inter" w:eastAsia="inter" w:hAnsi="inter" w:cs="inter"/>
          <w:b/>
          <w:color w:val="000000"/>
        </w:rPr>
        <w:t>Évaluation globale</w:t>
      </w:r>
      <w:r>
        <w:rPr>
          <w:rFonts w:ascii="inter" w:eastAsia="inter" w:hAnsi="inter" w:cs="inter"/>
          <w:color w:val="000000"/>
        </w:rPr>
        <w:t xml:space="preserve"> : Score pondéré ; sélection meilleur prestataire ; pour étudiants : notes collectives (individualisation si inéquité).</w:t>
      </w:r>
      <w:bookmarkStart w:id="53" w:name="fnref1_40"/>
      <w:bookmarkEnd w:id="53"/>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spacing w:before="315" w:after="105" w:line="360" w:lineRule="auto"/>
        <w:ind w:left="-30"/>
      </w:pPr>
      <w:bookmarkStart w:id="54" w:name="détection_de_biais_manques_ou_ambigüités"/>
      <w:r>
        <w:rPr>
          <w:rFonts w:ascii="inter" w:eastAsia="inter" w:hAnsi="inter" w:cs="inter"/>
          <w:b/>
          <w:color w:val="000000"/>
          <w:sz w:val="24"/>
        </w:rPr>
        <w:t>Détection de Biais, Manques ou Ambigüités</w:t>
      </w:r>
      <w:bookmarkEnd w:id="54"/>
    </w:p>
    <w:p w:rsidR="00E62337" w:rsidRDefault="008A5F7D">
      <w:pPr>
        <w:spacing w:after="210" w:line="360" w:lineRule="auto"/>
      </w:pPr>
      <w:r>
        <w:rPr>
          <w:rFonts w:ascii="inter" w:eastAsia="inter" w:hAnsi="inter" w:cs="inter"/>
          <w:color w:val="000000"/>
        </w:rPr>
        <w:t>Conforme ISO 24001 (qualité nucléaire implicite : traçabilité hyp</w:t>
      </w:r>
      <w:r>
        <w:rPr>
          <w:rFonts w:ascii="inter" w:eastAsia="inter" w:hAnsi="inter" w:cs="inter"/>
          <w:color w:val="000000"/>
        </w:rPr>
        <w:t xml:space="preserve">othèses/calculs, revue pairs). </w:t>
      </w:r>
      <w:r>
        <w:rPr>
          <w:rFonts w:ascii="inter" w:eastAsia="inter" w:hAnsi="inter" w:cs="inter"/>
          <w:b/>
          <w:color w:val="000000"/>
        </w:rPr>
        <w:t>Biais potentiels</w:t>
      </w:r>
      <w:r>
        <w:rPr>
          <w:rFonts w:ascii="inter" w:eastAsia="inter" w:hAnsi="inter" w:cs="inter"/>
          <w:color w:val="000000"/>
        </w:rPr>
        <w:t xml:space="preserve"> : Hypothèses conservatrices (ex. : source ponctuelle sous-estime diffusion ; négligence filiations sous-estime activités) ; analyse comparative multi-modèles recommandée (manuel vs DEM+ vs Monte-Carlo) pour v</w:t>
      </w:r>
      <w:r>
        <w:rPr>
          <w:rFonts w:ascii="inter" w:eastAsia="inter" w:hAnsi="inter" w:cs="inter"/>
          <w:color w:val="000000"/>
        </w:rPr>
        <w:t xml:space="preserve">alidation. </w:t>
      </w:r>
      <w:r>
        <w:rPr>
          <w:rFonts w:ascii="inter" w:eastAsia="inter" w:hAnsi="inter" w:cs="inter"/>
          <w:b/>
          <w:color w:val="000000"/>
        </w:rPr>
        <w:t>Manques/Ambigüités</w:t>
      </w:r>
      <w:r>
        <w:rPr>
          <w:rFonts w:ascii="inter" w:eastAsia="inter" w:hAnsi="inter" w:cs="inter"/>
          <w:color w:val="000000"/>
        </w:rPr>
        <w:t xml:space="preserve"> : Géométrie cuve n°3 incomplète (seulement "voir Annexe 2", sans dimensions précises) ; énergies/intensités cuve n°3 variables (nécessite hypothèses moyennes) ; filiations ⁹⁹</w:t>
      </w:r>
      <w:r>
        <w:rPr>
          <w:rFonts w:ascii="inter" w:eastAsia="inter" w:hAnsi="inter" w:cs="inter"/>
          <w:color w:val="000000"/>
        </w:rPr>
        <w:t>ᵐ</w:t>
      </w:r>
      <w:r>
        <w:rPr>
          <w:rFonts w:ascii="inter" w:eastAsia="inter" w:hAnsi="inter" w:cs="inter"/>
          <w:color w:val="000000"/>
        </w:rPr>
        <w:t>Tc non listées (rechercher NNDC) ; sections efficac</w:t>
      </w:r>
      <w:r>
        <w:rPr>
          <w:rFonts w:ascii="inter" w:eastAsia="inter" w:hAnsi="inter" w:cs="inter"/>
          <w:color w:val="000000"/>
        </w:rPr>
        <w:t xml:space="preserve">es/μ spécifiques non fournies (utiliser EXFOR/NIST) ; build-up acier (demander PN) ; pas de doses limites explicites (référencer ASN/AIEA : 1 mSv/an public, 20 mSv/an pro ALARA). </w:t>
      </w:r>
      <w:r>
        <w:rPr>
          <w:rFonts w:ascii="inter" w:eastAsia="inter" w:hAnsi="inter" w:cs="inter"/>
          <w:b/>
          <w:color w:val="000000"/>
        </w:rPr>
        <w:t>Recommandations</w:t>
      </w:r>
      <w:r>
        <w:rPr>
          <w:rFonts w:ascii="inter" w:eastAsia="inter" w:hAnsi="inter" w:cs="inter"/>
          <w:color w:val="000000"/>
        </w:rPr>
        <w:t xml:space="preserve"> : Documenter sensibilités ; croiser sources pour robustesse ;</w:t>
      </w:r>
      <w:r>
        <w:rPr>
          <w:rFonts w:ascii="inter" w:eastAsia="inter" w:hAnsi="inter" w:cs="inter"/>
          <w:color w:val="000000"/>
        </w:rPr>
        <w:t xml:space="preserve"> pas d'omissions majeures, mais extensions bonus pour thèse (simulations avancées).</w:t>
      </w:r>
      <w:bookmarkStart w:id="55" w:name="fnref1_41"/>
      <w:bookmarkEnd w:id="55"/>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E62337" w:rsidRDefault="008A5F7D">
      <w:pPr>
        <w:spacing w:line="360" w:lineRule="auto"/>
      </w:pPr>
      <w:r>
        <w:rPr>
          <w:rFonts w:ascii="inter" w:eastAsia="inter" w:hAnsi="inter" w:cs="inter"/>
          <w:color w:val="000000"/>
        </w:rPr>
        <w:t>⁂</w:t>
      </w:r>
    </w:p>
    <w:p w:rsidR="00E62337" w:rsidRDefault="008A5F7D">
      <w:pPr>
        <w:spacing w:before="210" w:after="0" w:line="360" w:lineRule="auto"/>
      </w:pPr>
      <w:r>
        <w:rPr>
          <w:noProof/>
        </w:rPr>
      </w:r>
      <w:r>
        <w:rPr>
          <w:noProof/>
        </w:rPr>
        <w:pict>
          <v:rect id="_x0000_s1026" alt="" style="width:475.5pt;height:.05pt;mso-width-percent:0;mso-height-percent:0;mso-left-percent:-10001;mso-top-percent:-10001;mso-position-horizontal:absolute;mso-position-horizontal-relative:char;mso-position-vertical:absolute;mso-position-vertical-relative:line;mso-width-percent:0;mso-height-percent:0;mso-left-percent:-10001;mso-top-percent:-10001" o:hralign="center" o:hrstd="t" strokeweight="1pt">
            <v:stroke opacity="0"/>
          </v:rect>
        </w:pict>
      </w:r>
    </w:p>
    <w:p w:rsidR="00E62337" w:rsidRDefault="008A5F7D">
      <w:pPr>
        <w:numPr>
          <w:ilvl w:val="0"/>
          <w:numId w:val="9"/>
        </w:numPr>
        <w:spacing w:after="210" w:line="360" w:lineRule="auto"/>
      </w:pPr>
      <w:bookmarkStart w:id="56" w:name="fn1"/>
      <w:bookmarkEnd w:id="56"/>
      <w:r>
        <w:rPr>
          <w:rFonts w:ascii="inter" w:eastAsia="inter" w:hAnsi="inter" w:cs="inter"/>
          <w:color w:val="000000"/>
          <w:sz w:val="18"/>
        </w:rPr>
        <w:t xml:space="preserve">Projet-Ingenierie-2024-2025vEnglish.pdf                                     </w:t>
      </w:r>
      <w:r>
        <w:rPr>
          <w:rFonts w:ascii="inter" w:eastAsia="inter" w:hAnsi="inter" w:cs="inter"/>
          <w:color w:val="000000"/>
          <w:sz w:val="18"/>
        </w:rPr>
        <w:t xml:space="preserve">     </w:t>
      </w:r>
    </w:p>
    <w:sectPr w:rsidR="00E62337">
      <w:pgSz w:w="12240" w:h="15840"/>
      <w:pgMar w:top="1365" w:right="1365" w:bottom="1365" w:left="136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inter">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1661A"/>
    <w:multiLevelType w:val="hybridMultilevel"/>
    <w:tmpl w:val="6FEE8CA0"/>
    <w:lvl w:ilvl="0" w:tplc="783AEF4C">
      <w:start w:val="1"/>
      <w:numFmt w:val="bullet"/>
      <w:lvlText w:val=""/>
      <w:lvlJc w:val="left"/>
      <w:pPr>
        <w:tabs>
          <w:tab w:val="num" w:pos="900"/>
        </w:tabs>
        <w:ind w:left="540" w:hanging="360"/>
      </w:pPr>
      <w:rPr>
        <w:rFonts w:ascii="Symbol" w:hAnsi="Symbol" w:hint="default"/>
      </w:rPr>
    </w:lvl>
    <w:lvl w:ilvl="1" w:tplc="EDAEDD30">
      <w:numFmt w:val="decimal"/>
      <w:lvlText w:val=""/>
      <w:lvlJc w:val="left"/>
    </w:lvl>
    <w:lvl w:ilvl="2" w:tplc="2CB0AE1E">
      <w:numFmt w:val="decimal"/>
      <w:lvlText w:val=""/>
      <w:lvlJc w:val="left"/>
    </w:lvl>
    <w:lvl w:ilvl="3" w:tplc="1FEE3286">
      <w:numFmt w:val="decimal"/>
      <w:lvlText w:val=""/>
      <w:lvlJc w:val="left"/>
    </w:lvl>
    <w:lvl w:ilvl="4" w:tplc="8A7E6766">
      <w:numFmt w:val="decimal"/>
      <w:lvlText w:val=""/>
      <w:lvlJc w:val="left"/>
    </w:lvl>
    <w:lvl w:ilvl="5" w:tplc="0A969FF6">
      <w:numFmt w:val="decimal"/>
      <w:lvlText w:val=""/>
      <w:lvlJc w:val="left"/>
    </w:lvl>
    <w:lvl w:ilvl="6" w:tplc="412A65C8">
      <w:numFmt w:val="decimal"/>
      <w:lvlText w:val=""/>
      <w:lvlJc w:val="left"/>
    </w:lvl>
    <w:lvl w:ilvl="7" w:tplc="29A4F3D6">
      <w:numFmt w:val="decimal"/>
      <w:lvlText w:val=""/>
      <w:lvlJc w:val="left"/>
    </w:lvl>
    <w:lvl w:ilvl="8" w:tplc="2402BCEE">
      <w:numFmt w:val="decimal"/>
      <w:lvlText w:val=""/>
      <w:lvlJc w:val="left"/>
    </w:lvl>
  </w:abstractNum>
  <w:abstractNum w:abstractNumId="1" w15:restartNumberingAfterBreak="0">
    <w:nsid w:val="1DAF70BD"/>
    <w:multiLevelType w:val="hybridMultilevel"/>
    <w:tmpl w:val="7FFA31C6"/>
    <w:lvl w:ilvl="0" w:tplc="F63C252C">
      <w:start w:val="1"/>
      <w:numFmt w:val="decimal"/>
      <w:lvlText w:val="%1."/>
      <w:lvlJc w:val="left"/>
      <w:pPr>
        <w:tabs>
          <w:tab w:val="num" w:pos="900"/>
        </w:tabs>
        <w:ind w:left="540" w:hanging="360"/>
      </w:pPr>
    </w:lvl>
    <w:lvl w:ilvl="1" w:tplc="4EB29A84">
      <w:numFmt w:val="decimal"/>
      <w:lvlText w:val=""/>
      <w:lvlJc w:val="left"/>
    </w:lvl>
    <w:lvl w:ilvl="2" w:tplc="46604B74">
      <w:numFmt w:val="decimal"/>
      <w:lvlText w:val=""/>
      <w:lvlJc w:val="left"/>
    </w:lvl>
    <w:lvl w:ilvl="3" w:tplc="0172F094">
      <w:numFmt w:val="decimal"/>
      <w:lvlText w:val=""/>
      <w:lvlJc w:val="left"/>
    </w:lvl>
    <w:lvl w:ilvl="4" w:tplc="26C60498">
      <w:numFmt w:val="decimal"/>
      <w:lvlText w:val=""/>
      <w:lvlJc w:val="left"/>
    </w:lvl>
    <w:lvl w:ilvl="5" w:tplc="A26A45DA">
      <w:numFmt w:val="decimal"/>
      <w:lvlText w:val=""/>
      <w:lvlJc w:val="left"/>
    </w:lvl>
    <w:lvl w:ilvl="6" w:tplc="3BFE0710">
      <w:numFmt w:val="decimal"/>
      <w:lvlText w:val=""/>
      <w:lvlJc w:val="left"/>
    </w:lvl>
    <w:lvl w:ilvl="7" w:tplc="372278B4">
      <w:numFmt w:val="decimal"/>
      <w:lvlText w:val=""/>
      <w:lvlJc w:val="left"/>
    </w:lvl>
    <w:lvl w:ilvl="8" w:tplc="0B481D6C">
      <w:numFmt w:val="decimal"/>
      <w:lvlText w:val=""/>
      <w:lvlJc w:val="left"/>
    </w:lvl>
  </w:abstractNum>
  <w:abstractNum w:abstractNumId="2" w15:restartNumberingAfterBreak="0">
    <w:nsid w:val="1DBE47B6"/>
    <w:multiLevelType w:val="hybridMultilevel"/>
    <w:tmpl w:val="8468205A"/>
    <w:lvl w:ilvl="0" w:tplc="A76C4968">
      <w:start w:val="1"/>
      <w:numFmt w:val="bullet"/>
      <w:lvlText w:val=""/>
      <w:lvlJc w:val="left"/>
      <w:pPr>
        <w:tabs>
          <w:tab w:val="num" w:pos="900"/>
        </w:tabs>
        <w:ind w:left="540" w:hanging="360"/>
      </w:pPr>
      <w:rPr>
        <w:rFonts w:ascii="Symbol" w:hAnsi="Symbol" w:hint="default"/>
      </w:rPr>
    </w:lvl>
    <w:lvl w:ilvl="1" w:tplc="A518F556">
      <w:numFmt w:val="decimal"/>
      <w:lvlText w:val=""/>
      <w:lvlJc w:val="left"/>
    </w:lvl>
    <w:lvl w:ilvl="2" w:tplc="8628421C">
      <w:numFmt w:val="decimal"/>
      <w:lvlText w:val=""/>
      <w:lvlJc w:val="left"/>
    </w:lvl>
    <w:lvl w:ilvl="3" w:tplc="AD7286F0">
      <w:numFmt w:val="decimal"/>
      <w:lvlText w:val=""/>
      <w:lvlJc w:val="left"/>
    </w:lvl>
    <w:lvl w:ilvl="4" w:tplc="3AF08232">
      <w:numFmt w:val="decimal"/>
      <w:lvlText w:val=""/>
      <w:lvlJc w:val="left"/>
    </w:lvl>
    <w:lvl w:ilvl="5" w:tplc="312A9602">
      <w:numFmt w:val="decimal"/>
      <w:lvlText w:val=""/>
      <w:lvlJc w:val="left"/>
    </w:lvl>
    <w:lvl w:ilvl="6" w:tplc="5B368146">
      <w:numFmt w:val="decimal"/>
      <w:lvlText w:val=""/>
      <w:lvlJc w:val="left"/>
    </w:lvl>
    <w:lvl w:ilvl="7" w:tplc="FA10BEFA">
      <w:numFmt w:val="decimal"/>
      <w:lvlText w:val=""/>
      <w:lvlJc w:val="left"/>
    </w:lvl>
    <w:lvl w:ilvl="8" w:tplc="1FD229DA">
      <w:numFmt w:val="decimal"/>
      <w:lvlText w:val=""/>
      <w:lvlJc w:val="left"/>
    </w:lvl>
  </w:abstractNum>
  <w:abstractNum w:abstractNumId="3" w15:restartNumberingAfterBreak="0">
    <w:nsid w:val="2ACE4A2C"/>
    <w:multiLevelType w:val="hybridMultilevel"/>
    <w:tmpl w:val="6C96282C"/>
    <w:lvl w:ilvl="0" w:tplc="9B021E52">
      <w:start w:val="1"/>
      <w:numFmt w:val="bullet"/>
      <w:lvlText w:val=""/>
      <w:lvlJc w:val="left"/>
      <w:pPr>
        <w:tabs>
          <w:tab w:val="num" w:pos="900"/>
        </w:tabs>
        <w:ind w:left="540" w:hanging="360"/>
      </w:pPr>
      <w:rPr>
        <w:rFonts w:ascii="Symbol" w:hAnsi="Symbol" w:hint="default"/>
      </w:rPr>
    </w:lvl>
    <w:lvl w:ilvl="1" w:tplc="98A0D1D0">
      <w:numFmt w:val="decimal"/>
      <w:lvlText w:val=""/>
      <w:lvlJc w:val="left"/>
    </w:lvl>
    <w:lvl w:ilvl="2" w:tplc="91B681A8">
      <w:numFmt w:val="decimal"/>
      <w:lvlText w:val=""/>
      <w:lvlJc w:val="left"/>
    </w:lvl>
    <w:lvl w:ilvl="3" w:tplc="96F0F964">
      <w:numFmt w:val="decimal"/>
      <w:lvlText w:val=""/>
      <w:lvlJc w:val="left"/>
    </w:lvl>
    <w:lvl w:ilvl="4" w:tplc="F9A840B0">
      <w:numFmt w:val="decimal"/>
      <w:lvlText w:val=""/>
      <w:lvlJc w:val="left"/>
    </w:lvl>
    <w:lvl w:ilvl="5" w:tplc="08B43C2A">
      <w:numFmt w:val="decimal"/>
      <w:lvlText w:val=""/>
      <w:lvlJc w:val="left"/>
    </w:lvl>
    <w:lvl w:ilvl="6" w:tplc="AA0C0432">
      <w:numFmt w:val="decimal"/>
      <w:lvlText w:val=""/>
      <w:lvlJc w:val="left"/>
    </w:lvl>
    <w:lvl w:ilvl="7" w:tplc="39328ACE">
      <w:numFmt w:val="decimal"/>
      <w:lvlText w:val=""/>
      <w:lvlJc w:val="left"/>
    </w:lvl>
    <w:lvl w:ilvl="8" w:tplc="6700CB2E">
      <w:numFmt w:val="decimal"/>
      <w:lvlText w:val=""/>
      <w:lvlJc w:val="left"/>
    </w:lvl>
  </w:abstractNum>
  <w:abstractNum w:abstractNumId="4" w15:restartNumberingAfterBreak="0">
    <w:nsid w:val="2ECE53D5"/>
    <w:multiLevelType w:val="hybridMultilevel"/>
    <w:tmpl w:val="D408E23A"/>
    <w:lvl w:ilvl="0" w:tplc="80CA412A">
      <w:numFmt w:val="decimal"/>
      <w:lvlText w:val=""/>
      <w:lvlJc w:val="left"/>
    </w:lvl>
    <w:lvl w:ilvl="1" w:tplc="4796CADA">
      <w:numFmt w:val="decimal"/>
      <w:lvlText w:val=""/>
      <w:lvlJc w:val="left"/>
    </w:lvl>
    <w:lvl w:ilvl="2" w:tplc="869EE7DE">
      <w:numFmt w:val="decimal"/>
      <w:lvlText w:val=""/>
      <w:lvlJc w:val="left"/>
    </w:lvl>
    <w:lvl w:ilvl="3" w:tplc="E3D01D9C">
      <w:numFmt w:val="decimal"/>
      <w:lvlText w:val=""/>
      <w:lvlJc w:val="left"/>
    </w:lvl>
    <w:lvl w:ilvl="4" w:tplc="6E90E18E">
      <w:numFmt w:val="decimal"/>
      <w:lvlText w:val=""/>
      <w:lvlJc w:val="left"/>
    </w:lvl>
    <w:lvl w:ilvl="5" w:tplc="9716CF2C">
      <w:numFmt w:val="decimal"/>
      <w:lvlText w:val=""/>
      <w:lvlJc w:val="left"/>
    </w:lvl>
    <w:lvl w:ilvl="6" w:tplc="705632F2">
      <w:numFmt w:val="decimal"/>
      <w:lvlText w:val=""/>
      <w:lvlJc w:val="left"/>
    </w:lvl>
    <w:lvl w:ilvl="7" w:tplc="EC0AF536">
      <w:numFmt w:val="decimal"/>
      <w:lvlText w:val=""/>
      <w:lvlJc w:val="left"/>
    </w:lvl>
    <w:lvl w:ilvl="8" w:tplc="B4B2AA06">
      <w:numFmt w:val="decimal"/>
      <w:lvlText w:val=""/>
      <w:lvlJc w:val="left"/>
    </w:lvl>
  </w:abstractNum>
  <w:abstractNum w:abstractNumId="5" w15:restartNumberingAfterBreak="0">
    <w:nsid w:val="47E60EDF"/>
    <w:multiLevelType w:val="hybridMultilevel"/>
    <w:tmpl w:val="4C50EE4A"/>
    <w:lvl w:ilvl="0" w:tplc="14BE25A0">
      <w:start w:val="1"/>
      <w:numFmt w:val="bullet"/>
      <w:lvlText w:val=""/>
      <w:lvlJc w:val="left"/>
      <w:pPr>
        <w:tabs>
          <w:tab w:val="num" w:pos="900"/>
        </w:tabs>
        <w:ind w:left="540" w:hanging="360"/>
      </w:pPr>
      <w:rPr>
        <w:rFonts w:ascii="Symbol" w:hAnsi="Symbol" w:hint="default"/>
      </w:rPr>
    </w:lvl>
    <w:lvl w:ilvl="1" w:tplc="DF6CD232">
      <w:numFmt w:val="decimal"/>
      <w:lvlText w:val=""/>
      <w:lvlJc w:val="left"/>
    </w:lvl>
    <w:lvl w:ilvl="2" w:tplc="5AEA4914">
      <w:numFmt w:val="decimal"/>
      <w:lvlText w:val=""/>
      <w:lvlJc w:val="left"/>
    </w:lvl>
    <w:lvl w:ilvl="3" w:tplc="DF9AB58A">
      <w:numFmt w:val="decimal"/>
      <w:lvlText w:val=""/>
      <w:lvlJc w:val="left"/>
    </w:lvl>
    <w:lvl w:ilvl="4" w:tplc="FEE05CD6">
      <w:numFmt w:val="decimal"/>
      <w:lvlText w:val=""/>
      <w:lvlJc w:val="left"/>
    </w:lvl>
    <w:lvl w:ilvl="5" w:tplc="144C2362">
      <w:numFmt w:val="decimal"/>
      <w:lvlText w:val=""/>
      <w:lvlJc w:val="left"/>
    </w:lvl>
    <w:lvl w:ilvl="6" w:tplc="E24E6002">
      <w:numFmt w:val="decimal"/>
      <w:lvlText w:val=""/>
      <w:lvlJc w:val="left"/>
    </w:lvl>
    <w:lvl w:ilvl="7" w:tplc="C82271D2">
      <w:numFmt w:val="decimal"/>
      <w:lvlText w:val=""/>
      <w:lvlJc w:val="left"/>
    </w:lvl>
    <w:lvl w:ilvl="8" w:tplc="2372123E">
      <w:numFmt w:val="decimal"/>
      <w:lvlText w:val=""/>
      <w:lvlJc w:val="left"/>
    </w:lvl>
  </w:abstractNum>
  <w:abstractNum w:abstractNumId="6" w15:restartNumberingAfterBreak="0">
    <w:nsid w:val="57912A20"/>
    <w:multiLevelType w:val="hybridMultilevel"/>
    <w:tmpl w:val="7F0C76C0"/>
    <w:lvl w:ilvl="0" w:tplc="3E8CD310">
      <w:start w:val="1"/>
      <w:numFmt w:val="bullet"/>
      <w:lvlText w:val=""/>
      <w:lvlJc w:val="left"/>
      <w:pPr>
        <w:tabs>
          <w:tab w:val="num" w:pos="900"/>
        </w:tabs>
        <w:ind w:left="540" w:hanging="360"/>
      </w:pPr>
      <w:rPr>
        <w:rFonts w:ascii="Symbol" w:hAnsi="Symbol" w:hint="default"/>
      </w:rPr>
    </w:lvl>
    <w:lvl w:ilvl="1" w:tplc="A2F62A9E">
      <w:numFmt w:val="decimal"/>
      <w:lvlText w:val=""/>
      <w:lvlJc w:val="left"/>
    </w:lvl>
    <w:lvl w:ilvl="2" w:tplc="36D4B48E">
      <w:numFmt w:val="decimal"/>
      <w:lvlText w:val=""/>
      <w:lvlJc w:val="left"/>
    </w:lvl>
    <w:lvl w:ilvl="3" w:tplc="23E44BF0">
      <w:numFmt w:val="decimal"/>
      <w:lvlText w:val=""/>
      <w:lvlJc w:val="left"/>
    </w:lvl>
    <w:lvl w:ilvl="4" w:tplc="CAEA1EBE">
      <w:numFmt w:val="decimal"/>
      <w:lvlText w:val=""/>
      <w:lvlJc w:val="left"/>
    </w:lvl>
    <w:lvl w:ilvl="5" w:tplc="AEEC3AAE">
      <w:numFmt w:val="decimal"/>
      <w:lvlText w:val=""/>
      <w:lvlJc w:val="left"/>
    </w:lvl>
    <w:lvl w:ilvl="6" w:tplc="B85AC3D4">
      <w:numFmt w:val="decimal"/>
      <w:lvlText w:val=""/>
      <w:lvlJc w:val="left"/>
    </w:lvl>
    <w:lvl w:ilvl="7" w:tplc="4B12447E">
      <w:numFmt w:val="decimal"/>
      <w:lvlText w:val=""/>
      <w:lvlJc w:val="left"/>
    </w:lvl>
    <w:lvl w:ilvl="8" w:tplc="1700D02A">
      <w:numFmt w:val="decimal"/>
      <w:lvlText w:val=""/>
      <w:lvlJc w:val="left"/>
    </w:lvl>
  </w:abstractNum>
  <w:abstractNum w:abstractNumId="7" w15:restartNumberingAfterBreak="0">
    <w:nsid w:val="64E03C31"/>
    <w:multiLevelType w:val="hybridMultilevel"/>
    <w:tmpl w:val="BE3EEAEE"/>
    <w:lvl w:ilvl="0" w:tplc="750494C8">
      <w:start w:val="1"/>
      <w:numFmt w:val="bullet"/>
      <w:lvlText w:val=""/>
      <w:lvlJc w:val="left"/>
      <w:pPr>
        <w:tabs>
          <w:tab w:val="num" w:pos="900"/>
        </w:tabs>
        <w:ind w:left="540" w:hanging="360"/>
      </w:pPr>
      <w:rPr>
        <w:rFonts w:ascii="Symbol" w:hAnsi="Symbol" w:hint="default"/>
      </w:rPr>
    </w:lvl>
    <w:lvl w:ilvl="1" w:tplc="580884E0">
      <w:numFmt w:val="decimal"/>
      <w:lvlText w:val=""/>
      <w:lvlJc w:val="left"/>
    </w:lvl>
    <w:lvl w:ilvl="2" w:tplc="E9C848E0">
      <w:numFmt w:val="decimal"/>
      <w:lvlText w:val=""/>
      <w:lvlJc w:val="left"/>
    </w:lvl>
    <w:lvl w:ilvl="3" w:tplc="1FBA9C52">
      <w:numFmt w:val="decimal"/>
      <w:lvlText w:val=""/>
      <w:lvlJc w:val="left"/>
    </w:lvl>
    <w:lvl w:ilvl="4" w:tplc="A62A3672">
      <w:numFmt w:val="decimal"/>
      <w:lvlText w:val=""/>
      <w:lvlJc w:val="left"/>
    </w:lvl>
    <w:lvl w:ilvl="5" w:tplc="2260158A">
      <w:numFmt w:val="decimal"/>
      <w:lvlText w:val=""/>
      <w:lvlJc w:val="left"/>
    </w:lvl>
    <w:lvl w:ilvl="6" w:tplc="C1F2D5D4">
      <w:numFmt w:val="decimal"/>
      <w:lvlText w:val=""/>
      <w:lvlJc w:val="left"/>
    </w:lvl>
    <w:lvl w:ilvl="7" w:tplc="A8148C20">
      <w:numFmt w:val="decimal"/>
      <w:lvlText w:val=""/>
      <w:lvlJc w:val="left"/>
    </w:lvl>
    <w:lvl w:ilvl="8" w:tplc="3CC6D1C4">
      <w:numFmt w:val="decimal"/>
      <w:lvlText w:val=""/>
      <w:lvlJc w:val="left"/>
    </w:lvl>
  </w:abstractNum>
  <w:abstractNum w:abstractNumId="8" w15:restartNumberingAfterBreak="0">
    <w:nsid w:val="7DC4140D"/>
    <w:multiLevelType w:val="hybridMultilevel"/>
    <w:tmpl w:val="B5982D6E"/>
    <w:lvl w:ilvl="0" w:tplc="3658369C">
      <w:start w:val="1"/>
      <w:numFmt w:val="bullet"/>
      <w:lvlText w:val=""/>
      <w:lvlJc w:val="left"/>
      <w:pPr>
        <w:tabs>
          <w:tab w:val="num" w:pos="900"/>
        </w:tabs>
        <w:ind w:left="540" w:hanging="360"/>
      </w:pPr>
      <w:rPr>
        <w:rFonts w:ascii="Symbol" w:hAnsi="Symbol" w:hint="default"/>
      </w:rPr>
    </w:lvl>
    <w:lvl w:ilvl="1" w:tplc="6B6201BE">
      <w:numFmt w:val="decimal"/>
      <w:lvlText w:val=""/>
      <w:lvlJc w:val="left"/>
    </w:lvl>
    <w:lvl w:ilvl="2" w:tplc="34F899EE">
      <w:numFmt w:val="decimal"/>
      <w:lvlText w:val=""/>
      <w:lvlJc w:val="left"/>
    </w:lvl>
    <w:lvl w:ilvl="3" w:tplc="BCF47AA0">
      <w:numFmt w:val="decimal"/>
      <w:lvlText w:val=""/>
      <w:lvlJc w:val="left"/>
    </w:lvl>
    <w:lvl w:ilvl="4" w:tplc="CA98AFE0">
      <w:numFmt w:val="decimal"/>
      <w:lvlText w:val=""/>
      <w:lvlJc w:val="left"/>
    </w:lvl>
    <w:lvl w:ilvl="5" w:tplc="D9843DDE">
      <w:numFmt w:val="decimal"/>
      <w:lvlText w:val=""/>
      <w:lvlJc w:val="left"/>
    </w:lvl>
    <w:lvl w:ilvl="6" w:tplc="BAC6E062">
      <w:numFmt w:val="decimal"/>
      <w:lvlText w:val=""/>
      <w:lvlJc w:val="left"/>
    </w:lvl>
    <w:lvl w:ilvl="7" w:tplc="C59803D6">
      <w:numFmt w:val="decimal"/>
      <w:lvlText w:val=""/>
      <w:lvlJc w:val="left"/>
    </w:lvl>
    <w:lvl w:ilvl="8" w:tplc="6C5C92C2">
      <w:numFmt w:val="decimal"/>
      <w:lvlText w:val=""/>
      <w:lvlJc w:val="left"/>
    </w:lvl>
  </w:abstractNum>
  <w:num w:numId="1">
    <w:abstractNumId w:val="2"/>
  </w:num>
  <w:num w:numId="2">
    <w:abstractNumId w:val="8"/>
  </w:num>
  <w:num w:numId="3">
    <w:abstractNumId w:val="7"/>
  </w:num>
  <w:num w:numId="4">
    <w:abstractNumId w:val="0"/>
  </w:num>
  <w:num w:numId="5">
    <w:abstractNumId w:val="6"/>
  </w:num>
  <w:num w:numId="6">
    <w:abstractNumId w:val="5"/>
  </w:num>
  <w:num w:numId="7">
    <w:abstractNumId w:val="3"/>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337"/>
    <w:rsid w:val="008A5F7D"/>
    <w:rsid w:val="00A8459D"/>
    <w:rsid w:val="00E623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12C2422"/>
  <w15:docId w15:val="{4330F3B7-D619-2245-A79E-386EB73A7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HAnsi" w:hAnsiTheme="minorHAnsi" w:cstheme="minorBidi"/>
        <w:sz w:val="21"/>
        <w:szCs w:val="22"/>
        <w:lang w:val="fr-FR" w:eastAsia="en-US" w:bidi="ar-SA"/>
      </w:rPr>
    </w:rPrDefault>
    <w:pPrDefault>
      <w:pPr>
        <w:spacing w:after="120" w:line="24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VerbatimChar">
    <w:name w:val="Verbatim 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nndc.bnl.gov/chart/" TargetMode="External"/><Relationship Id="rId13" Type="http://schemas.openxmlformats.org/officeDocument/2006/relationships/hyperlink" Target="http://www.radprocalculator.com/Files/ShieldingandBuildup.pdf" TargetMode="External"/><Relationship Id="rId18" Type="http://schemas.openxmlformats.org/officeDocument/2006/relationships/hyperlink" Target="http://iopscience.iop.org/article/10.1088/0031-9155/56/17/002/pdf" TargetMode="External"/><Relationship Id="rId3" Type="http://schemas.openxmlformats.org/officeDocument/2006/relationships/settings" Target="settings.xml"/><Relationship Id="rId7" Type="http://schemas.openxmlformats.org/officeDocument/2006/relationships/hyperlink" Target="https://www.nndc.bnl.gov/" TargetMode="External"/><Relationship Id="rId12" Type="http://schemas.openxmlformats.org/officeDocument/2006/relationships/hyperlink" Target="https://www.nist.gov/pml/x-ray-mass-attenuation-coefficients" TargetMode="External"/><Relationship Id="rId17" Type="http://schemas.openxmlformats.org/officeDocument/2006/relationships/hyperlink" Target="https://www.excel-exercice.com/diagramme-de-gantt/" TargetMode="External"/><Relationship Id="rId2" Type="http://schemas.openxmlformats.org/officeDocument/2006/relationships/styles" Target="styles.xml"/><Relationship Id="rId16" Type="http://schemas.openxmlformats.org/officeDocument/2006/relationships/hyperlink" Target="http://www.lemonde.fr/campus/article/2017/01/05/gestion-de-projet-le-mooc-a-grand-succes-de-centrale-lille_5058190_4401467.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mars-ingenierie@subatech.in2p3.fr" TargetMode="External"/><Relationship Id="rId11" Type="http://schemas.openxmlformats.org/officeDocument/2006/relationships/hyperlink" Target="http://www.srim.org/" TargetMode="External"/><Relationship Id="rId5" Type="http://schemas.openxmlformats.org/officeDocument/2006/relationships/hyperlink" Target="mailto:mars-ingenierie@subatech.in2p3.fr" TargetMode="External"/><Relationship Id="rId15" Type="http://schemas.openxmlformats.org/officeDocument/2006/relationships/hyperlink" Target="https://mooc.gestiondeprojet.pm/" TargetMode="External"/><Relationship Id="rId10" Type="http://schemas.openxmlformats.org/officeDocument/2006/relationships/hyperlink" Target="https://www.nndc.bnl.gov/exfor/exfor.ht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nndc.bnl.gov/nudat2/indx_dec.jsp" TargetMode="External"/><Relationship Id="rId14" Type="http://schemas.openxmlformats.org/officeDocument/2006/relationships/hyperlink" Target="https://www.arronax-nantes.fr/outil-telechargement/outils-radionuclide-yield-calculato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2060</Words>
  <Characters>11331</Characters>
  <Application>Microsoft Office Word</Application>
  <DocSecurity>0</DocSecurity>
  <Lines>94</Lines>
  <Paragraphs>26</Paragraphs>
  <ScaleCrop>false</ScaleCrop>
  <Company/>
  <LinksUpToDate>false</LinksUpToDate>
  <CharactersWithSpaces>13365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html-to-docx</dc:creator>
  <cp:keywords>html-to-docx</cp:keywords>
  <dc:description/>
  <cp:lastModifiedBy>Microsoft Office User</cp:lastModifiedBy>
  <cp:revision>2</cp:revision>
  <dcterms:created xsi:type="dcterms:W3CDTF">2025-11-03T21:13:00Z</dcterms:created>
  <dcterms:modified xsi:type="dcterms:W3CDTF">2025-11-27T12:22:00Z</dcterms:modified>
</cp:coreProperties>
</file>